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https://www.velvetjobs.com/job-descriptions/vp-audit</w:t>
        </w:r>
      </w:hyperlink>
    </w:p>
    <w:p>
      <w:pPr>
        <w:pStyle w:val="Heading1"/>
      </w:pPr>
      <w:bookmarkStart w:id="21" w:name="example-of-vp-audit-job-description"/>
      <w:r>
        <w:t xml:space="preserve">Example of VP, Audit Job Description</w:t>
      </w:r>
      <w:bookmarkEnd w:id="21"/>
    </w:p>
    <w:p>
      <w:pPr>
        <w:pStyle w:val="Compact"/>
      </w:pPr>
      <w:r>
        <w:t xml:space="preserve">Our company is looking to fill the role of VP,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audit"/>
      <w:r>
        <w:t xml:space="preserve">Responsibilities for VP, audit</w:t>
      </w:r>
      <w:bookmarkEnd w:id="22"/>
    </w:p>
    <w:p>
      <w:pPr>
        <w:pStyle w:val="Compact"/>
        <w:numPr>
          <w:numId w:val="1001"/>
          <w:ilvl w:val="0"/>
        </w:numPr>
      </w:pPr>
      <w:r>
        <w:t xml:space="preserve">Jointly develop audit test steps with business functions’ auditors and work with them to evaluate the design and operating effectiveness of end-to-end AML/CFT internal controls</w:t>
      </w:r>
    </w:p>
    <w:p>
      <w:pPr>
        <w:pStyle w:val="Compact"/>
        <w:numPr>
          <w:numId w:val="1001"/>
          <w:ilvl w:val="0"/>
        </w:numPr>
      </w:pPr>
      <w:r>
        <w:t xml:space="preserve">Partner with data scientists to automate audit tests and perform data analysis to identify key areas of money-laundering risk and to predict risky customers and risk events</w:t>
      </w:r>
    </w:p>
    <w:p>
      <w:pPr>
        <w:pStyle w:val="Compact"/>
        <w:numPr>
          <w:numId w:val="1001"/>
          <w:ilvl w:val="0"/>
        </w:numPr>
      </w:pPr>
      <w:r>
        <w:t xml:space="preserve">Liaise with businesses and control functions to ensure the Group Audit function is kept abreast of regulatory expectations and market developments relating to AML/CFT</w:t>
      </w:r>
    </w:p>
    <w:p>
      <w:pPr>
        <w:pStyle w:val="Compact"/>
        <w:numPr>
          <w:numId w:val="1001"/>
          <w:ilvl w:val="0"/>
        </w:numPr>
      </w:pPr>
      <w:r>
        <w:t xml:space="preserve">The candidate will be required to lead (Principal Auditor) and successfully deliver Technology audits, or participate in integrated Business and Technology audits, both locally and globally</w:t>
      </w:r>
    </w:p>
    <w:p>
      <w:pPr>
        <w:pStyle w:val="Compact"/>
        <w:numPr>
          <w:numId w:val="1001"/>
          <w:ilvl w:val="0"/>
        </w:numPr>
      </w:pPr>
      <w:r>
        <w:t xml:space="preserve">Conduct credit process audits of Corporate Banking, Private Banking and audit of the full suite of branch activities for International Branches</w:t>
      </w:r>
    </w:p>
    <w:p>
      <w:pPr>
        <w:pStyle w:val="Compact"/>
        <w:numPr>
          <w:numId w:val="1001"/>
          <w:ilvl w:val="0"/>
        </w:numPr>
      </w:pPr>
      <w:r>
        <w:t xml:space="preserve">Contribute to the development of Audit Services policies, strategy and direction</w:t>
      </w:r>
    </w:p>
    <w:p>
      <w:pPr>
        <w:pStyle w:val="Compact"/>
        <w:numPr>
          <w:numId w:val="1001"/>
          <w:ilvl w:val="0"/>
        </w:numPr>
      </w:pPr>
      <w:r>
        <w:t xml:space="preserve">Manage Audit Services’ resources efficiently, economically and effectively</w:t>
      </w:r>
    </w:p>
    <w:p>
      <w:pPr>
        <w:pStyle w:val="Compact"/>
        <w:numPr>
          <w:numId w:val="1001"/>
          <w:ilvl w:val="0"/>
        </w:numPr>
      </w:pPr>
      <w:r>
        <w:t xml:space="preserve">Assist with preparation and presentation of reports to Audit Committees of Division subsidiary companies</w:t>
      </w:r>
    </w:p>
    <w:p>
      <w:pPr>
        <w:pStyle w:val="Compact"/>
        <w:numPr>
          <w:numId w:val="1001"/>
          <w:ilvl w:val="0"/>
        </w:numPr>
      </w:pPr>
      <w:r>
        <w:t xml:space="preserve">Creating supporting documentation to evidence proper governance in the area of Exam Management</w:t>
      </w:r>
    </w:p>
    <w:p>
      <w:pPr>
        <w:pStyle w:val="Compact"/>
        <w:numPr>
          <w:numId w:val="1001"/>
          <w:ilvl w:val="0"/>
        </w:numPr>
      </w:pPr>
      <w:r>
        <w:t xml:space="preserve">Develop a regulatory management engagement model internally within AFC to promote consistency, quality and timely responses</w:t>
      </w:r>
    </w:p>
    <w:p>
      <w:pPr>
        <w:pStyle w:val="Heading2"/>
      </w:pPr>
      <w:bookmarkStart w:id="23" w:name="qualifications-for-vp-audit"/>
      <w:r>
        <w:t xml:space="preserve">Qualifications for VP, audit</w:t>
      </w:r>
      <w:bookmarkEnd w:id="23"/>
    </w:p>
    <w:p>
      <w:pPr>
        <w:pStyle w:val="Compact"/>
        <w:numPr>
          <w:numId w:val="1002"/>
          <w:ilvl w:val="0"/>
        </w:numPr>
      </w:pPr>
      <w:r>
        <w:t xml:space="preserve">Recognized Accounting qualification is desirable although not essential</w:t>
      </w:r>
    </w:p>
    <w:p>
      <w:pPr>
        <w:pStyle w:val="Compact"/>
        <w:numPr>
          <w:numId w:val="1002"/>
          <w:ilvl w:val="0"/>
        </w:numPr>
      </w:pPr>
      <w:r>
        <w:t xml:space="preserve">Robust knowledge of Trading operations, FX and derivative products, and regulations</w:t>
      </w:r>
    </w:p>
    <w:p>
      <w:pPr>
        <w:pStyle w:val="Compact"/>
        <w:numPr>
          <w:numId w:val="1002"/>
          <w:ilvl w:val="0"/>
        </w:numPr>
      </w:pPr>
      <w:r>
        <w:t xml:space="preserve">Experience reviewing complex trading processes to draw conclusions report findings</w:t>
      </w:r>
    </w:p>
    <w:p>
      <w:pPr>
        <w:pStyle w:val="Compact"/>
        <w:numPr>
          <w:numId w:val="1002"/>
          <w:ilvl w:val="0"/>
        </w:numPr>
      </w:pPr>
      <w:r>
        <w:t xml:space="preserve">Experience with software to query and review data such as Excel</w:t>
      </w:r>
    </w:p>
    <w:p>
      <w:pPr>
        <w:pStyle w:val="Compact"/>
        <w:numPr>
          <w:numId w:val="1002"/>
          <w:ilvl w:val="0"/>
        </w:numPr>
      </w:pPr>
      <w:r>
        <w:t xml:space="preserve">CPA or related certification is preferred</w:t>
      </w:r>
    </w:p>
    <w:p>
      <w:pPr>
        <w:pStyle w:val="Compact"/>
        <w:numPr>
          <w:numId w:val="1002"/>
          <w:ilvl w:val="0"/>
        </w:numPr>
      </w:pPr>
      <w:r>
        <w:t xml:space="preserve">A strong, comprehensive understanding of US, UK and EMEA global investment banking regulatory framework including but limited to Senior Manager’s Regime, Market Abuse Directive, AIFMD, EMIR, MiFID II, Dodd Frank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2021-10-28T13:11:46Z</dcterms:created>
  <dcterms:modified xsi:type="dcterms:W3CDTF">2021-10-28T13:11:46Z</dcterms:modified>
</cp:coreProperties>
</file>