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https://www.velvetjobs.com/job-descriptions/vp-advisory</w:t>
        </w:r>
      </w:hyperlink>
    </w:p>
    <w:p>
      <w:pPr>
        <w:pStyle w:val="Heading1"/>
      </w:pPr>
      <w:bookmarkStart w:id="21" w:name="example-of-vp-advisory-job-description"/>
      <w:r>
        <w:t xml:space="preserve">Example of VP, Advisory Job Description</w:t>
      </w:r>
      <w:bookmarkEnd w:id="21"/>
    </w:p>
    <w:p>
      <w:pPr>
        <w:pStyle w:val="Compact"/>
      </w:pPr>
      <w:r>
        <w:t xml:space="preserve">Our company is growing rapidly and is searching for experienced candidates for the position of VP, advisory. To join our growing team, please review the list of responsibilities and qualifications.</w:t>
      </w:r>
    </w:p>
    <w:p>
      <w:pPr>
        <w:pStyle w:val="Heading2"/>
      </w:pPr>
      <w:bookmarkStart w:id="22" w:name="responsibilities-for-vp-advisory"/>
      <w:r>
        <w:t xml:space="preserve">Responsibilities for VP, advisory</w:t>
      </w:r>
      <w:bookmarkEnd w:id="22"/>
    </w:p>
    <w:p>
      <w:pPr>
        <w:pStyle w:val="Compact"/>
        <w:numPr>
          <w:numId w:val="1001"/>
          <w:ilvl w:val="0"/>
        </w:numPr>
      </w:pPr>
      <w:r>
        <w:t xml:space="preserve">Requests for exceptions and dispensations to AML Policies that fall within group guidelines</w:t>
      </w:r>
    </w:p>
    <w:p>
      <w:pPr>
        <w:pStyle w:val="Compact"/>
        <w:numPr>
          <w:numId w:val="1001"/>
          <w:ilvl w:val="0"/>
        </w:numPr>
      </w:pPr>
      <w:r>
        <w:t xml:space="preserve">Lead product development and management activities to ensure high levels of product competitiveness and differentiation</w:t>
      </w:r>
    </w:p>
    <w:p>
      <w:pPr>
        <w:pStyle w:val="Compact"/>
        <w:numPr>
          <w:numId w:val="1001"/>
          <w:ilvl w:val="0"/>
        </w:numPr>
      </w:pPr>
      <w:r>
        <w:t xml:space="preserve">Directly engage in sales and relationship activities as senior leader, including educational webinars, presentations at industry conferences, and client pitches</w:t>
      </w:r>
    </w:p>
    <w:p>
      <w:pPr>
        <w:pStyle w:val="Compact"/>
        <w:numPr>
          <w:numId w:val="1001"/>
          <w:ilvl w:val="0"/>
        </w:numPr>
      </w:pPr>
      <w:r>
        <w:t xml:space="preserve">Carry out the duties required of MUS(HK)’s Compliance Officer with responsibility for the oversight of MUS(HK)’s compliance with the relevant rules regulations including Anti Money Laundering Regulations</w:t>
      </w:r>
    </w:p>
    <w:p>
      <w:pPr>
        <w:pStyle w:val="Compact"/>
        <w:numPr>
          <w:numId w:val="1001"/>
          <w:ilvl w:val="0"/>
        </w:numPr>
      </w:pPr>
      <w:r>
        <w:t xml:space="preserve">Asses, identify and mitigate the firms regulatory risks in conducting its business cross border jurisdictions</w:t>
      </w:r>
    </w:p>
    <w:p>
      <w:pPr>
        <w:pStyle w:val="Compact"/>
        <w:numPr>
          <w:numId w:val="1001"/>
          <w:ilvl w:val="0"/>
        </w:numPr>
      </w:pPr>
      <w:r>
        <w:t xml:space="preserve">Ensure that the firm maintains the necessary licenses, authorities and/or policies and procedures to conduct cross border business in compliance with local laws or regulation</w:t>
      </w:r>
    </w:p>
    <w:p>
      <w:pPr>
        <w:pStyle w:val="Compact"/>
        <w:numPr>
          <w:numId w:val="1001"/>
          <w:ilvl w:val="0"/>
        </w:numPr>
      </w:pPr>
      <w:r>
        <w:t xml:space="preserve">Advise Compliance Head of Asia and line units, on all matters relating to compliance</w:t>
      </w:r>
    </w:p>
    <w:p>
      <w:pPr>
        <w:pStyle w:val="Compact"/>
        <w:numPr>
          <w:numId w:val="1001"/>
          <w:ilvl w:val="0"/>
        </w:numPr>
      </w:pPr>
      <w:r>
        <w:t xml:space="preserve">Serve as the point of contact for supervisory authorities</w:t>
      </w:r>
    </w:p>
    <w:p>
      <w:pPr>
        <w:pStyle w:val="Compact"/>
        <w:numPr>
          <w:numId w:val="1001"/>
          <w:ilvl w:val="0"/>
        </w:numPr>
      </w:pPr>
      <w:r>
        <w:t xml:space="preserve">Take appropriate action and reporting in accordance with internal procedures on the occurrence of a breach of laws or regulations</w:t>
      </w:r>
    </w:p>
    <w:p>
      <w:pPr>
        <w:pStyle w:val="Compact"/>
        <w:numPr>
          <w:numId w:val="1001"/>
          <w:ilvl w:val="0"/>
        </w:numPr>
      </w:pPr>
      <w:r>
        <w:t xml:space="preserve">Report to the Compliance Head of Asia in respect of all aspect of compliance oversight and money laundering prevention responsibilities</w:t>
      </w:r>
    </w:p>
    <w:p>
      <w:pPr>
        <w:pStyle w:val="Heading2"/>
      </w:pPr>
      <w:bookmarkStart w:id="23" w:name="qualifications-for-vp-advisory"/>
      <w:r>
        <w:t xml:space="preserve">Qualifications for VP, advisory</w:t>
      </w:r>
      <w:bookmarkEnd w:id="23"/>
    </w:p>
    <w:p>
      <w:pPr>
        <w:pStyle w:val="Compact"/>
        <w:numPr>
          <w:numId w:val="1002"/>
          <w:ilvl w:val="0"/>
        </w:numPr>
      </w:pPr>
      <w:r>
        <w:t xml:space="preserve">Ownership of NPA/NTA reviews and sign-offs for any new products and/or transactions requiring the support of the Collateral Management group</w:t>
      </w:r>
    </w:p>
    <w:p>
      <w:pPr>
        <w:pStyle w:val="Compact"/>
        <w:numPr>
          <w:numId w:val="1002"/>
          <w:ilvl w:val="0"/>
        </w:numPr>
      </w:pPr>
      <w:r>
        <w:t xml:space="preserve">Build and maintain strong working relationships with our Clients, Regulators, Auditors, internal business partners and industry counterparts to facilitate superior levels of service supporting our US based model</w:t>
      </w:r>
    </w:p>
    <w:p>
      <w:pPr>
        <w:pStyle w:val="Compact"/>
        <w:numPr>
          <w:numId w:val="1002"/>
          <w:ilvl w:val="0"/>
        </w:numPr>
      </w:pPr>
      <w:r>
        <w:t xml:space="preserve">Become a thought-leader in how to engineer and implement new offerings or adhere to new regulatory marketplace demand</w:t>
      </w:r>
    </w:p>
    <w:p>
      <w:pPr>
        <w:pStyle w:val="Compact"/>
        <w:numPr>
          <w:numId w:val="1002"/>
          <w:ilvl w:val="0"/>
        </w:numPr>
      </w:pPr>
      <w:r>
        <w:t xml:space="preserve">Oversight over Initial Margin segregation, Product reference data services, Vendor Risk Management including oversight of Near and Offshore New Business teams</w:t>
      </w:r>
    </w:p>
    <w:p>
      <w:pPr>
        <w:pStyle w:val="Compact"/>
        <w:numPr>
          <w:numId w:val="1002"/>
          <w:ilvl w:val="0"/>
        </w:numPr>
      </w:pPr>
      <w:r>
        <w:t xml:space="preserve">Provide oversight and coordination during market volatility</w:t>
      </w:r>
    </w:p>
    <w:p>
      <w:pPr>
        <w:pStyle w:val="Compact"/>
        <w:numPr>
          <w:numId w:val="1002"/>
          <w:ilvl w:val="0"/>
        </w:numPr>
      </w:pPr>
      <w:r>
        <w:t xml:space="preserve">Work on change Book of Work initiatives for continuous enhancement of the internal DB systems like dbCAMM, dbREX Review and approve BRDs for all Collateral system enhancements, coordinate testing where needed or enable the testing thru various RTB teams within collateral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