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https://www.velvetjobs.com/job-descriptions/strategy-advisor</w:t>
        </w:r>
      </w:hyperlink>
    </w:p>
    <w:p>
      <w:pPr>
        <w:pStyle w:val="Heading1"/>
      </w:pPr>
      <w:bookmarkStart w:id="21" w:name="example-of-strategy-advisor-job-description"/>
      <w:r>
        <w:t xml:space="preserve">Example of Strategy Advisor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strategy advisor. To join our growing team, please review the list of responsibilities and qualifications.</w:t>
      </w:r>
    </w:p>
    <w:p>
      <w:pPr>
        <w:pStyle w:val="Heading2"/>
      </w:pPr>
      <w:bookmarkStart w:id="22" w:name="responsibilities-for-strategy-advisor"/>
      <w:r>
        <w:t xml:space="preserve">Responsibilities for strategy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input to senior management relative to business development and strategic positioning as it relates to payer strategy</w:t>
      </w:r>
    </w:p>
    <w:p>
      <w:pPr>
        <w:pStyle w:val="Compact"/>
        <w:numPr>
          <w:numId w:val="1001"/>
          <w:ilvl w:val="0"/>
        </w:numPr>
      </w:pPr>
      <w:r>
        <w:t xml:space="preserve">Serve as DUHS chief strategist with respect to development of value-capture initiatives, including the development and oversight of health plan capabilities and other risk-based transformation</w:t>
      </w:r>
    </w:p>
    <w:p>
      <w:pPr>
        <w:pStyle w:val="Compact"/>
        <w:numPr>
          <w:numId w:val="1001"/>
          <w:ilvl w:val="0"/>
        </w:numPr>
      </w:pPr>
      <w:r>
        <w:t xml:space="preserve">Pursue and develop relationships and communication channels with payers, clinical collaborators and employers with regard to health reform and new payment models</w:t>
      </w:r>
    </w:p>
    <w:p>
      <w:pPr>
        <w:pStyle w:val="Compact"/>
        <w:numPr>
          <w:numId w:val="1001"/>
          <w:ilvl w:val="0"/>
        </w:numPr>
      </w:pPr>
      <w:r>
        <w:t xml:space="preserve">Serve as DUHS expert on emerging payer/health reform trends nationally and regionally</w:t>
      </w:r>
    </w:p>
    <w:p>
      <w:pPr>
        <w:pStyle w:val="Compact"/>
        <w:numPr>
          <w:numId w:val="1001"/>
          <w:ilvl w:val="0"/>
        </w:numPr>
      </w:pPr>
      <w:r>
        <w:t xml:space="preserve">Support DUHS growth initiatives by leading efforts in network development, value-based contracting and other major efforts associated with developing the clinically integrated network</w:t>
      </w:r>
    </w:p>
    <w:p>
      <w:pPr>
        <w:pStyle w:val="Compact"/>
        <w:numPr>
          <w:numId w:val="1001"/>
          <w:ilvl w:val="0"/>
        </w:numPr>
      </w:pPr>
      <w:r>
        <w:t xml:space="preserve">Lead development of innovative arrangements with national payers, large employers and embassies for Duke Health’s clinical services to increase volume and revenue to Duke</w:t>
      </w:r>
    </w:p>
    <w:p>
      <w:pPr>
        <w:pStyle w:val="Compact"/>
        <w:numPr>
          <w:numId w:val="1001"/>
          <w:ilvl w:val="0"/>
        </w:numPr>
      </w:pPr>
      <w:r>
        <w:t xml:space="preserve">Working with Planning and Finance, develop effective models and business plans to evaluate the potential impact of various collaborations and payer strategies</w:t>
      </w:r>
    </w:p>
    <w:p>
      <w:pPr>
        <w:pStyle w:val="Compact"/>
        <w:numPr>
          <w:numId w:val="1001"/>
          <w:ilvl w:val="0"/>
        </w:numPr>
      </w:pPr>
      <w:r>
        <w:t xml:space="preserve">Monitor service area competitive environment and federal and state policy to identify opportunities to enhance and secure organizational objectives</w:t>
      </w:r>
    </w:p>
    <w:p>
      <w:pPr>
        <w:pStyle w:val="Compact"/>
        <w:numPr>
          <w:numId w:val="1001"/>
          <w:ilvl w:val="0"/>
        </w:numPr>
      </w:pPr>
      <w:r>
        <w:t xml:space="preserve">Build processes for decision-making to include active involvement of all relevant stakeholders</w:t>
      </w:r>
    </w:p>
    <w:p>
      <w:pPr>
        <w:pStyle w:val="Compact"/>
        <w:numPr>
          <w:numId w:val="1001"/>
          <w:ilvl w:val="0"/>
        </w:numPr>
      </w:pPr>
      <w:r>
        <w:t xml:space="preserve">Obtain and maintain up-to-date information and knowledge of managed care/payer environment, including but not limited to local, state, and national developments and their potential impact on DUHS</w:t>
      </w:r>
    </w:p>
    <w:p>
      <w:pPr>
        <w:pStyle w:val="Heading2"/>
      </w:pPr>
      <w:bookmarkStart w:id="23" w:name="qualifications-for-strategy-advisor"/>
      <w:r>
        <w:t xml:space="preserve">Qualifications for strategy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record of leadership with a business partnership orientation</w:t>
      </w:r>
    </w:p>
    <w:p>
      <w:pPr>
        <w:pStyle w:val="Compact"/>
        <w:numPr>
          <w:numId w:val="1002"/>
          <w:ilvl w:val="0"/>
        </w:numPr>
      </w:pPr>
      <w:r>
        <w:t xml:space="preserve">Strong knowledge of global wealth management and retirement trends</w:t>
      </w:r>
    </w:p>
    <w:p>
      <w:pPr>
        <w:pStyle w:val="Compact"/>
        <w:numPr>
          <w:numId w:val="1002"/>
          <w:ilvl w:val="0"/>
        </w:numPr>
      </w:pPr>
      <w:r>
        <w:t xml:space="preserve">Ability to understand and communicate about complex technical subjects in a clear and concise manner</w:t>
      </w:r>
    </w:p>
    <w:p>
      <w:pPr>
        <w:pStyle w:val="Compact"/>
        <w:numPr>
          <w:numId w:val="1002"/>
          <w:ilvl w:val="0"/>
        </w:numPr>
      </w:pPr>
      <w:r>
        <w:t xml:space="preserve">Ability to understand and focus on clients’ needs, establish credibility and build positive, professional relationships with clients</w:t>
      </w:r>
    </w:p>
    <w:p>
      <w:pPr>
        <w:pStyle w:val="Compact"/>
        <w:numPr>
          <w:numId w:val="1002"/>
          <w:ilvl w:val="0"/>
        </w:numPr>
      </w:pPr>
      <w:r>
        <w:t xml:space="preserve">Compelling public speaker comfortable in front of large groups</w:t>
      </w:r>
    </w:p>
    <w:p>
      <w:pPr>
        <w:pStyle w:val="Compact"/>
        <w:numPr>
          <w:numId w:val="1002"/>
          <w:ilvl w:val="0"/>
        </w:numPr>
      </w:pPr>
      <w:r>
        <w:t xml:space="preserve">This position requires travel to customer and non-customer sites in North America, Asia and Europe (50%)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2021-10-28T13:24:16Z</dcterms:created>
  <dcterms:modified xsi:type="dcterms:W3CDTF">2021-10-28T13:24:16Z</dcterms:modified>
</cp:coreProperties>
</file>