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https://www.velvetjobs.com/job-descriptions/service-architect</w:t>
        </w:r>
      </w:hyperlink>
    </w:p>
    <w:p>
      <w:pPr>
        <w:pStyle w:val="Heading1"/>
      </w:pPr>
      <w:bookmarkStart w:id="21" w:name="example-of-service-architect-job-description"/>
      <w:r>
        <w:t xml:space="preserve">Example of Service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architect. To join our growing team, please review the list of responsibilities and qualifications.</w:t>
      </w:r>
    </w:p>
    <w:p>
      <w:pPr>
        <w:pStyle w:val="Heading2"/>
      </w:pPr>
      <w:bookmarkStart w:id="22" w:name="responsibilities-for-service-architect"/>
      <w:r>
        <w:t xml:space="preserve">Responsibilities for service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Carbon footprint &amp; environmental aspects should be considered</w:t>
      </w:r>
    </w:p>
    <w:p>
      <w:pPr>
        <w:pStyle w:val="Compact"/>
        <w:numPr>
          <w:numId w:val="1001"/>
          <w:ilvl w:val="0"/>
        </w:numPr>
      </w:pPr>
      <w:r>
        <w:t xml:space="preserve">Ensurearisk management approach is adhered to for all new solutions and service designs</w:t>
      </w:r>
    </w:p>
    <w:p>
      <w:pPr>
        <w:pStyle w:val="Compact"/>
        <w:numPr>
          <w:numId w:val="1001"/>
          <w:ilvl w:val="0"/>
        </w:numPr>
      </w:pPr>
      <w:r>
        <w:t xml:space="preserve">Provide expert advice and analyses to shape the development of systems/equipment at the concept phase for optimal Life-Cycle Cost (LCC)</w:t>
      </w:r>
    </w:p>
    <w:p>
      <w:pPr>
        <w:pStyle w:val="Compact"/>
        <w:numPr>
          <w:numId w:val="1001"/>
          <w:ilvl w:val="0"/>
        </w:numPr>
      </w:pPr>
      <w:r>
        <w:t xml:space="preserve">Generate and maintain appropriate LCC models to support the making of decisions in the above</w:t>
      </w:r>
    </w:p>
    <w:p>
      <w:pPr>
        <w:pStyle w:val="Compact"/>
        <w:numPr>
          <w:numId w:val="1001"/>
          <w:ilvl w:val="0"/>
        </w:numPr>
      </w:pPr>
      <w:r>
        <w:t xml:space="preserve">Provide support solution expertise to Bids and Projects</w:t>
      </w:r>
    </w:p>
    <w:p>
      <w:pPr>
        <w:pStyle w:val="Compact"/>
        <w:numPr>
          <w:numId w:val="1001"/>
          <w:ilvl w:val="0"/>
        </w:numPr>
      </w:pPr>
      <w:r>
        <w:t xml:space="preserve">Provide Trade-off analyses and business cases in support of those solutions</w:t>
      </w:r>
    </w:p>
    <w:p>
      <w:pPr>
        <w:pStyle w:val="Compact"/>
        <w:numPr>
          <w:numId w:val="1001"/>
          <w:ilvl w:val="0"/>
        </w:numPr>
      </w:pPr>
      <w:r>
        <w:t xml:space="preserve">Generate relevant documentation and plans to support bids and projects</w:t>
      </w:r>
    </w:p>
    <w:p>
      <w:pPr>
        <w:pStyle w:val="Compact"/>
        <w:numPr>
          <w:numId w:val="1001"/>
          <w:ilvl w:val="0"/>
        </w:numPr>
      </w:pPr>
      <w:r>
        <w:t xml:space="preserve">Provide resource and material estimates for the relevant areas of the solution</w:t>
      </w:r>
    </w:p>
    <w:p>
      <w:pPr>
        <w:pStyle w:val="Compact"/>
        <w:numPr>
          <w:numId w:val="1001"/>
          <w:ilvl w:val="0"/>
        </w:numPr>
      </w:pPr>
      <w:r>
        <w:t xml:space="preserve">Ensure that the risks and opportunities associated with the solutions are identified, communicated and, where practicable, mitigated</w:t>
      </w:r>
    </w:p>
    <w:p>
      <w:pPr>
        <w:pStyle w:val="Compact"/>
        <w:numPr>
          <w:numId w:val="1001"/>
          <w:ilvl w:val="0"/>
        </w:numPr>
      </w:pPr>
      <w:r>
        <w:t xml:space="preserve">Ensure that any assumptions and dependencies associated with the solutions are identified, recorded and maintained</w:t>
      </w:r>
    </w:p>
    <w:p>
      <w:pPr>
        <w:pStyle w:val="Heading2"/>
      </w:pPr>
      <w:bookmarkStart w:id="23" w:name="qualifications-for-service-architect"/>
      <w:r>
        <w:t xml:space="preserve">Qualifications for service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and local language (Finnish)</w:t>
      </w:r>
    </w:p>
    <w:p>
      <w:pPr>
        <w:pStyle w:val="Compact"/>
        <w:numPr>
          <w:numId w:val="1002"/>
          <w:ilvl w:val="0"/>
        </w:numPr>
      </w:pPr>
      <w:r>
        <w:t xml:space="preserve">System integration best practices</w:t>
      </w:r>
    </w:p>
    <w:p>
      <w:pPr>
        <w:pStyle w:val="Compact"/>
        <w:numPr>
          <w:numId w:val="1002"/>
          <w:ilvl w:val="0"/>
        </w:numPr>
      </w:pPr>
      <w:r>
        <w:t xml:space="preserve">Java, PL/SQL, Linux/UNIX</w:t>
      </w:r>
    </w:p>
    <w:p>
      <w:pPr>
        <w:pStyle w:val="Compact"/>
        <w:numPr>
          <w:numId w:val="1002"/>
          <w:ilvl w:val="0"/>
        </w:numPr>
      </w:pPr>
      <w:r>
        <w:t xml:space="preserve">SOAP, REST, TCP/IP, HTTP, SMPP, MM7, ParlayX</w:t>
      </w:r>
    </w:p>
    <w:p>
      <w:pPr>
        <w:pStyle w:val="Compact"/>
        <w:numPr>
          <w:numId w:val="1002"/>
          <w:ilvl w:val="0"/>
        </w:numPr>
      </w:pPr>
      <w:r>
        <w:t xml:space="preserve">Virtualization (VMWare, Hypervisor, Openstack)</w:t>
      </w:r>
    </w:p>
    <w:p>
      <w:pPr>
        <w:pStyle w:val="Compact"/>
        <w:numPr>
          <w:numId w:val="1002"/>
          <w:ilvl w:val="0"/>
        </w:numPr>
      </w:pPr>
      <w:r>
        <w:t xml:space="preserve">HW (HP, EMC, Blade systems, Storage arrays – SAN)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2021-10-28T13:37:17Z</dcterms:created>
  <dcterms:modified xsi:type="dcterms:W3CDTF">2021-10-28T13:37:17Z</dcterms:modified>
</cp:coreProperties>
</file>