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https://www.velvetjobs.com/job-descriptions/senior-accounting</w:t>
        </w:r>
      </w:hyperlink>
    </w:p>
    <w:p>
      <w:pPr>
        <w:pStyle w:val="Heading1"/>
      </w:pPr>
      <w:bookmarkStart w:id="21" w:name="example-of-senior-accounting-job-description"/>
      <w:r>
        <w:t xml:space="preserve">Example of Senior Accounting Job Description</w:t>
      </w:r>
      <w:bookmarkEnd w:id="21"/>
    </w:p>
    <w:p>
      <w:pPr>
        <w:pStyle w:val="Compact"/>
      </w:pPr>
      <w:r>
        <w:t xml:space="preserve">Our innovative and growing company is hiring for a senior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ccounting"/>
      <w:r>
        <w:t xml:space="preserve">Responsibilities for senior accounting</w:t>
      </w:r>
      <w:bookmarkEnd w:id="22"/>
    </w:p>
    <w:p>
      <w:pPr>
        <w:pStyle w:val="Compact"/>
        <w:numPr>
          <w:numId w:val="1001"/>
          <w:ilvl w:val="0"/>
        </w:numPr>
      </w:pPr>
      <w:r>
        <w:t xml:space="preserve">Preparation of technical accounting memorandas related to new contracts, acquisitions, new accounting guidance</w:t>
      </w:r>
    </w:p>
    <w:p>
      <w:pPr>
        <w:pStyle w:val="Compact"/>
        <w:numPr>
          <w:numId w:val="1001"/>
          <w:ilvl w:val="0"/>
        </w:numPr>
      </w:pPr>
      <w:r>
        <w:t xml:space="preserve">Implementation of new or revised accounting pronouncements, such as Revenue Recognition, Consolidations, Lease Accounting</w:t>
      </w:r>
    </w:p>
    <w:p>
      <w:pPr>
        <w:pStyle w:val="Compact"/>
        <w:numPr>
          <w:numId w:val="1001"/>
          <w:ilvl w:val="0"/>
        </w:numPr>
      </w:pPr>
      <w:r>
        <w:t xml:space="preserve">Assistance with the design and monitoring of business processes related to technical accounting to ensure compliance with Sarbanes Oxley</w:t>
      </w:r>
    </w:p>
    <w:p>
      <w:pPr>
        <w:pStyle w:val="Compact"/>
        <w:numPr>
          <w:numId w:val="1001"/>
          <w:ilvl w:val="0"/>
        </w:numPr>
      </w:pPr>
      <w:r>
        <w:t xml:space="preserve">Support of annual audit and quarterly reviews conducted by an external accounting firm to ensure timely and efficient fulfillment of all requests</w:t>
      </w:r>
    </w:p>
    <w:p>
      <w:pPr>
        <w:pStyle w:val="Compact"/>
        <w:numPr>
          <w:numId w:val="1001"/>
          <w:ilvl w:val="0"/>
        </w:numPr>
      </w:pPr>
      <w:r>
        <w:t xml:space="preserve">Identification and leadership of projects that support the organization’s business needs and continuous improvement to the organization’s accounting and reporting processes</w:t>
      </w:r>
    </w:p>
    <w:p>
      <w:pPr>
        <w:pStyle w:val="Compact"/>
        <w:numPr>
          <w:numId w:val="1001"/>
          <w:ilvl w:val="0"/>
        </w:numPr>
      </w:pPr>
      <w:r>
        <w:t xml:space="preserve">Preparation or review of Cash Flow and Flux analysis</w:t>
      </w:r>
    </w:p>
    <w:p>
      <w:pPr>
        <w:pStyle w:val="Compact"/>
        <w:numPr>
          <w:numId w:val="1001"/>
          <w:ilvl w:val="0"/>
        </w:numPr>
      </w:pPr>
      <w:r>
        <w:t xml:space="preserve">Assist with the preparation and review of all financial SEC filing requirements (10-K, 10-Q, 11-K, 8-K, ) in accordance with SEC rules and regulations</w:t>
      </w:r>
    </w:p>
    <w:p>
      <w:pPr>
        <w:pStyle w:val="Compact"/>
        <w:numPr>
          <w:numId w:val="1001"/>
          <w:ilvl w:val="0"/>
        </w:numPr>
      </w:pPr>
      <w:r>
        <w:t xml:space="preserve">Collaborate on the preparation and review of supplemental information included in quarterly earnings releases</w:t>
      </w:r>
    </w:p>
    <w:p>
      <w:pPr>
        <w:pStyle w:val="Compact"/>
        <w:numPr>
          <w:numId w:val="1001"/>
          <w:ilvl w:val="0"/>
        </w:numPr>
      </w:pPr>
      <w:r>
        <w:t xml:space="preserve">Coordination of internal management reviews of documents to ensure that all feedback is assimilated into submitted documents and disclosures</w:t>
      </w:r>
    </w:p>
    <w:p>
      <w:pPr>
        <w:pStyle w:val="Compact"/>
        <w:numPr>
          <w:numId w:val="1001"/>
          <w:ilvl w:val="0"/>
        </w:numPr>
      </w:pPr>
      <w:r>
        <w:t xml:space="preserve">Adherence to internal and external review and filing deadlines, including tracking and communication of status</w:t>
      </w:r>
    </w:p>
    <w:p>
      <w:pPr>
        <w:pStyle w:val="Heading2"/>
      </w:pPr>
      <w:bookmarkStart w:id="23" w:name="qualifications-for-senior-accounting"/>
      <w:r>
        <w:t xml:space="preserve">Qualifications for senior accounting</w:t>
      </w:r>
      <w:bookmarkEnd w:id="23"/>
    </w:p>
    <w:p>
      <w:pPr>
        <w:pStyle w:val="Compact"/>
        <w:numPr>
          <w:numId w:val="1002"/>
          <w:ilvl w:val="0"/>
        </w:numPr>
      </w:pPr>
      <w:r>
        <w:t xml:space="preserve">Provide monthly variance analysis</w:t>
      </w:r>
    </w:p>
    <w:p>
      <w:pPr>
        <w:pStyle w:val="Compact"/>
        <w:numPr>
          <w:numId w:val="1002"/>
          <w:ilvl w:val="0"/>
        </w:numPr>
      </w:pPr>
      <w:r>
        <w:t xml:space="preserve">Provide quarterly profitability analyses for respective entities in line with Transfer Price Agreement</w:t>
      </w:r>
    </w:p>
    <w:p>
      <w:pPr>
        <w:pStyle w:val="Compact"/>
        <w:numPr>
          <w:numId w:val="1002"/>
          <w:ilvl w:val="0"/>
        </w:numPr>
      </w:pPr>
      <w:r>
        <w:t xml:space="preserve">Manage Intercompany invoices, I/C reconciliations and settlements</w:t>
      </w:r>
    </w:p>
    <w:p>
      <w:pPr>
        <w:pStyle w:val="Compact"/>
        <w:numPr>
          <w:numId w:val="1002"/>
          <w:ilvl w:val="0"/>
        </w:numPr>
      </w:pPr>
      <w:r>
        <w:t xml:space="preserve">Coordinate preparation and submission of VAT returns</w:t>
      </w:r>
    </w:p>
    <w:p>
      <w:pPr>
        <w:pStyle w:val="Compact"/>
        <w:numPr>
          <w:numId w:val="1002"/>
          <w:ilvl w:val="0"/>
        </w:numPr>
      </w:pPr>
      <w:r>
        <w:t xml:space="preserve">Support calculations of Corporation tax and coordinate settlements of tax liabilities</w:t>
      </w:r>
    </w:p>
    <w:p>
      <w:pPr>
        <w:pStyle w:val="Compact"/>
        <w:numPr>
          <w:numId w:val="1002"/>
          <w:ilvl w:val="0"/>
        </w:numPr>
      </w:pPr>
      <w:r>
        <w:t xml:space="preserve">For France ensure that all required declarations and payments where applicable are made for CVAE, CFE, CICE, organic tax, INSEE and DADS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2021-10-28T18:39:06Z</dcterms:created>
  <dcterms:modified xsi:type="dcterms:W3CDTF">2021-10-28T18:39:06Z</dcterms:modified>
</cp:coreProperties>
</file>