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https://www.velvetjobs.com/job-descriptions/risk-strategy</w:t>
        </w:r>
      </w:hyperlink>
    </w:p>
    <w:p>
      <w:pPr>
        <w:pStyle w:val="Heading1"/>
      </w:pPr>
      <w:bookmarkStart w:id="21" w:name="example-of-risk-strategy-job-description"/>
      <w:r>
        <w:t xml:space="preserve">Example of Risk Strategy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risk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strategy"/>
      <w:r>
        <w:t xml:space="preserve">Responsibilities for risk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regulatory exams, queries and action items</w:t>
      </w:r>
    </w:p>
    <w:p>
      <w:pPr>
        <w:pStyle w:val="Compact"/>
        <w:numPr>
          <w:numId w:val="1001"/>
          <w:ilvl w:val="0"/>
        </w:numPr>
      </w:pPr>
      <w:r>
        <w:t xml:space="preserve">Conduct targeted and thematic risk reviews / spot checks</w:t>
      </w:r>
    </w:p>
    <w:p>
      <w:pPr>
        <w:pStyle w:val="Compact"/>
        <w:numPr>
          <w:numId w:val="1001"/>
          <w:ilvl w:val="0"/>
        </w:numPr>
      </w:pPr>
      <w:r>
        <w:t xml:space="preserve">Conduct “Could it happen here” analyses</w:t>
      </w:r>
    </w:p>
    <w:p>
      <w:pPr>
        <w:pStyle w:val="Compact"/>
        <w:numPr>
          <w:numId w:val="1001"/>
          <w:ilvl w:val="0"/>
        </w:numPr>
      </w:pPr>
      <w:r>
        <w:t xml:space="preserve">Pro-actively identify potential “hot spots’ prior to incidents / issues</w:t>
      </w:r>
    </w:p>
    <w:p>
      <w:pPr>
        <w:pStyle w:val="Compact"/>
        <w:numPr>
          <w:numId w:val="1001"/>
          <w:ilvl w:val="0"/>
        </w:numPr>
      </w:pPr>
      <w:r>
        <w:t xml:space="preserve">Work closely with the respective product aligned Embedded Risk managers and DRM teams in other locations to share key initiatives and best practices</w:t>
      </w:r>
    </w:p>
    <w:p>
      <w:pPr>
        <w:pStyle w:val="Compact"/>
        <w:numPr>
          <w:numId w:val="1001"/>
          <w:ilvl w:val="0"/>
        </w:numPr>
      </w:pPr>
      <w:r>
        <w:t xml:space="preserve">Provide guidance and support for IT systems across the Risk organization</w:t>
      </w:r>
    </w:p>
    <w:p>
      <w:pPr>
        <w:pStyle w:val="Compact"/>
        <w:numPr>
          <w:numId w:val="1001"/>
          <w:ilvl w:val="0"/>
        </w:numPr>
      </w:pPr>
      <w:r>
        <w:t xml:space="preserve">Partner with the business end users to derive business requirements, process flows, and use cases</w:t>
      </w:r>
    </w:p>
    <w:p>
      <w:pPr>
        <w:pStyle w:val="Compact"/>
        <w:numPr>
          <w:numId w:val="1001"/>
          <w:ilvl w:val="0"/>
        </w:numPr>
      </w:pPr>
      <w:r>
        <w:t xml:space="preserve">Support the annual planning and funding processes</w:t>
      </w:r>
    </w:p>
    <w:p>
      <w:pPr>
        <w:pStyle w:val="Compact"/>
        <w:numPr>
          <w:numId w:val="1001"/>
          <w:ilvl w:val="0"/>
        </w:numPr>
      </w:pPr>
      <w:r>
        <w:t xml:space="preserve">Interface with IT to insure on-time, on-budget delivery of systems that provide the desired benefits</w:t>
      </w:r>
    </w:p>
    <w:p>
      <w:pPr>
        <w:pStyle w:val="Compact"/>
        <w:numPr>
          <w:numId w:val="1001"/>
          <w:ilvl w:val="0"/>
        </w:numPr>
      </w:pPr>
      <w:r>
        <w:t xml:space="preserve">Develop business cases to facilitate and fund IT projects</w:t>
      </w:r>
    </w:p>
    <w:p>
      <w:pPr>
        <w:pStyle w:val="Heading2"/>
      </w:pPr>
      <w:bookmarkStart w:id="23" w:name="qualifications-for-risk-strategy"/>
      <w:r>
        <w:t xml:space="preserve">Qualifications for risk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Eighteen years proven credit policy and/or credit risk management/analytics experience, or equivalent</w:t>
      </w:r>
    </w:p>
    <w:p>
      <w:pPr>
        <w:pStyle w:val="Compact"/>
        <w:numPr>
          <w:numId w:val="1002"/>
          <w:ilvl w:val="0"/>
        </w:numPr>
      </w:pPr>
      <w:r>
        <w:t xml:space="preserve">Experience in compiling analytics by pulling and manipulating data with a strong understanding on how we are internally disclosing vs</w:t>
      </w:r>
    </w:p>
    <w:p>
      <w:pPr>
        <w:pStyle w:val="Compact"/>
        <w:numPr>
          <w:numId w:val="1002"/>
          <w:ilvl w:val="0"/>
        </w:numPr>
      </w:pPr>
      <w:r>
        <w:t xml:space="preserve">University or College degree (B</w:t>
      </w:r>
    </w:p>
    <w:p>
      <w:pPr>
        <w:pStyle w:val="Compact"/>
        <w:numPr>
          <w:numId w:val="1002"/>
          <w:ilvl w:val="0"/>
        </w:numPr>
      </w:pPr>
      <w:r>
        <w:t xml:space="preserve">Support the four practices (SST, ESA, Cyber and RCM) in the delivery of business-level security consultancy services</w:t>
      </w:r>
    </w:p>
    <w:p>
      <w:pPr>
        <w:pStyle w:val="Compact"/>
        <w:numPr>
          <w:numId w:val="1002"/>
          <w:ilvl w:val="0"/>
        </w:numPr>
      </w:pPr>
      <w:r>
        <w:t xml:space="preserve">All work must be carried out in accordance with the Enterprise Risk Management Frameworks and Standards</w:t>
      </w:r>
    </w:p>
    <w:p>
      <w:pPr>
        <w:pStyle w:val="Compact"/>
        <w:numPr>
          <w:numId w:val="1002"/>
          <w:ilvl w:val="0"/>
        </w:numPr>
      </w:pPr>
      <w:r>
        <w:t xml:space="preserve">The objective is to provide independent risk guidance and oversight over the effectiveness of First Line risk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2021-10-28T13:13:42Z</dcterms:created>
  <dcterms:modified xsi:type="dcterms:W3CDTF">2021-10-28T13:13:42Z</dcterms:modified>
</cp:coreProperties>
</file>