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https://www.velvetjobs.com/job-descriptions/risk-senior-analyst</w:t>
        </w:r>
      </w:hyperlink>
    </w:p>
    <w:p>
      <w:pPr>
        <w:pStyle w:val="Heading1"/>
      </w:pPr>
      <w:bookmarkStart w:id="21" w:name="example-of-risk-senior-analyst-job-description"/>
      <w:r>
        <w:t xml:space="preserve">Example of Risk Senior Analyst Job Description</w:t>
      </w:r>
      <w:bookmarkEnd w:id="21"/>
    </w:p>
    <w:p>
      <w:pPr>
        <w:pStyle w:val="Compact"/>
      </w:pPr>
      <w:r>
        <w:t xml:space="preserve">Our company is hiring for a risk senior analyst. To join our growing team, please review the list of responsibilities and qualifications.</w:t>
      </w:r>
    </w:p>
    <w:p>
      <w:pPr>
        <w:pStyle w:val="Heading2"/>
      </w:pPr>
      <w:bookmarkStart w:id="22" w:name="responsibilities-for-risk-senior-analyst"/>
      <w:r>
        <w:t xml:space="preserve">Responsibilities for risk senior analyst</w:t>
      </w:r>
      <w:bookmarkEnd w:id="22"/>
    </w:p>
    <w:p>
      <w:pPr>
        <w:pStyle w:val="Compact"/>
        <w:numPr>
          <w:numId w:val="1001"/>
          <w:ilvl w:val="0"/>
        </w:numPr>
      </w:pPr>
      <w:r>
        <w:t xml:space="preserve">Develop, draft, and implement Merchant Support risk policies and changes to new policies</w:t>
      </w:r>
    </w:p>
    <w:p>
      <w:pPr>
        <w:pStyle w:val="Compact"/>
        <w:numPr>
          <w:numId w:val="1001"/>
          <w:ilvl w:val="0"/>
        </w:numPr>
      </w:pPr>
      <w:r>
        <w:t xml:space="preserve">Perform detailed analysis to identify and report on merchant accounts that might incur losses</w:t>
      </w:r>
    </w:p>
    <w:p>
      <w:pPr>
        <w:pStyle w:val="Compact"/>
        <w:numPr>
          <w:numId w:val="1001"/>
          <w:ilvl w:val="0"/>
        </w:numPr>
      </w:pPr>
      <w:r>
        <w:t xml:space="preserve">Report on monthly/quarterly losses- use processor reporting to create comprehensive in house loss reporting</w:t>
      </w:r>
    </w:p>
    <w:p>
      <w:pPr>
        <w:pStyle w:val="Compact"/>
        <w:numPr>
          <w:numId w:val="1001"/>
          <w:ilvl w:val="0"/>
        </w:numPr>
      </w:pPr>
      <w:r>
        <w:t xml:space="preserve">Utilize historical data to suggest, implement, process, and review changes to prevent loss in areas with most exposure and loss</w:t>
      </w:r>
    </w:p>
    <w:p>
      <w:pPr>
        <w:pStyle w:val="Compact"/>
        <w:numPr>
          <w:numId w:val="1001"/>
          <w:ilvl w:val="0"/>
        </w:numPr>
      </w:pPr>
      <w:r>
        <w:t xml:space="preserve">Collaborate with Project Manager, management and partners to implement internal Risk process and policy changes as needed</w:t>
      </w:r>
    </w:p>
    <w:p>
      <w:pPr>
        <w:pStyle w:val="Compact"/>
        <w:numPr>
          <w:numId w:val="1001"/>
          <w:ilvl w:val="0"/>
        </w:numPr>
      </w:pPr>
      <w:r>
        <w:t xml:space="preserve">Provide quality service to clients as required to meet client expectations and needs and as communicated by the company</w:t>
      </w:r>
    </w:p>
    <w:p>
      <w:pPr>
        <w:pStyle w:val="Compact"/>
        <w:numPr>
          <w:numId w:val="1001"/>
          <w:ilvl w:val="0"/>
        </w:numPr>
      </w:pPr>
      <w:r>
        <w:t xml:space="preserve">Be accessible to Merchant Support Specialists to escalate risk related issues by answering questions of agents in real time</w:t>
      </w:r>
    </w:p>
    <w:p>
      <w:pPr>
        <w:pStyle w:val="Compact"/>
        <w:numPr>
          <w:numId w:val="1001"/>
          <w:ilvl w:val="0"/>
        </w:numPr>
      </w:pPr>
      <w:r>
        <w:t xml:space="preserve">Manage personal schedule by independently scheduling meetings and projects when appropriate</w:t>
      </w:r>
    </w:p>
    <w:p>
      <w:pPr>
        <w:pStyle w:val="Compact"/>
        <w:numPr>
          <w:numId w:val="1001"/>
          <w:ilvl w:val="0"/>
        </w:numPr>
      </w:pPr>
      <w:r>
        <w:t xml:space="preserve">Attendance with Risk Conferences and webinars as needed</w:t>
      </w:r>
    </w:p>
    <w:p>
      <w:pPr>
        <w:pStyle w:val="Compact"/>
        <w:numPr>
          <w:numId w:val="1001"/>
          <w:ilvl w:val="0"/>
        </w:numPr>
      </w:pPr>
      <w:r>
        <w:t xml:space="preserve">Prepare and / or edit committee charters, policies and procedures, for risk management functions and needs</w:t>
      </w:r>
    </w:p>
    <w:p>
      <w:pPr>
        <w:pStyle w:val="Heading2"/>
      </w:pPr>
      <w:bookmarkStart w:id="23" w:name="qualifications-for-risk-senior-analyst"/>
      <w:r>
        <w:t xml:space="preserve">Qualifications for risk senior analyst</w:t>
      </w:r>
      <w:bookmarkEnd w:id="23"/>
    </w:p>
    <w:p>
      <w:pPr>
        <w:pStyle w:val="Compact"/>
        <w:numPr>
          <w:numId w:val="1002"/>
          <w:ilvl w:val="0"/>
        </w:numPr>
      </w:pPr>
      <w:r>
        <w:t xml:space="preserve">Develop and maintain reporting to support strategy and policy monitoring using all appropriate quantitative methods and MIS, provide insight on variances and make recommendations to further the achievement of NACCMS business objectives, while controlling delinquency and losses within the approved risk appetite and produce those reports on a regular basis</w:t>
      </w:r>
    </w:p>
    <w:p>
      <w:pPr>
        <w:pStyle w:val="Compact"/>
        <w:numPr>
          <w:numId w:val="1002"/>
          <w:ilvl w:val="0"/>
        </w:numPr>
      </w:pPr>
      <w:r>
        <w:t xml:space="preserve">Analyze issues and identify potential solutions that further NACCMS and TDBG business objectives</w:t>
      </w:r>
    </w:p>
    <w:p>
      <w:pPr>
        <w:pStyle w:val="Compact"/>
        <w:numPr>
          <w:numId w:val="1002"/>
          <w:ilvl w:val="0"/>
        </w:numPr>
      </w:pPr>
      <w:r>
        <w:t xml:space="preserve">Become SME on the operational aspects of the credit product lifecycle</w:t>
      </w:r>
    </w:p>
    <w:p>
      <w:pPr>
        <w:pStyle w:val="Compact"/>
        <w:numPr>
          <w:numId w:val="1002"/>
          <w:ilvl w:val="0"/>
        </w:numPr>
      </w:pPr>
      <w:r>
        <w:t xml:space="preserve">Post-secondary education, preferably in business operations, finance or risk management</w:t>
      </w:r>
    </w:p>
    <w:p>
      <w:pPr>
        <w:pStyle w:val="Compact"/>
        <w:numPr>
          <w:numId w:val="1002"/>
          <w:ilvl w:val="0"/>
        </w:numPr>
      </w:pPr>
      <w:r>
        <w:t xml:space="preserve">Exposure to pricing methodologies such as Historical Va, Span and Bootstrap</w:t>
      </w:r>
    </w:p>
    <w:p>
      <w:pPr>
        <w:pStyle w:val="Compact"/>
        <w:numPr>
          <w:numId w:val="1002"/>
          <w:ilvl w:val="0"/>
        </w:numPr>
      </w:pPr>
      <w:r>
        <w:t xml:space="preserve">Project-manage select NACC and TDI TS control remediation efforts and/or NACC and TDI TS involvement within Enterprise control remediation efforts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isk-senior-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isk-senior-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2021-10-28T13:27:56Z</dcterms:created>
  <dcterms:modified xsi:type="dcterms:W3CDTF">2021-10-28T13:27:56Z</dcterms:modified>
</cp:coreProperties>
</file>