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https://www.velvetjobs.com/job-descriptions/risk-oversight</w:t>
        </w:r>
      </w:hyperlink>
    </w:p>
    <w:p>
      <w:pPr>
        <w:pStyle w:val="Heading1"/>
      </w:pPr>
      <w:bookmarkStart w:id="21" w:name="example-of-risk-oversight-job-description"/>
      <w:r>
        <w:t xml:space="preserve">Example of Risk Oversight Job Description</w:t>
      </w:r>
      <w:bookmarkEnd w:id="21"/>
    </w:p>
    <w:p>
      <w:pPr>
        <w:pStyle w:val="Compact"/>
      </w:pPr>
      <w:r>
        <w:t xml:space="preserve">Our company is looking to fill the role of risk oversight.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oversight"/>
      <w:r>
        <w:t xml:space="preserve">Responsibilities for risk oversight</w:t>
      </w:r>
      <w:bookmarkEnd w:id="22"/>
    </w:p>
    <w:p>
      <w:pPr>
        <w:pStyle w:val="Compact"/>
        <w:numPr>
          <w:numId w:val="1001"/>
          <w:ilvl w:val="0"/>
        </w:numPr>
      </w:pPr>
      <w:r>
        <w:t xml:space="preserve">Oversee the quarterly production of the Canadian Banking and line of business risk appetite statement, ensuring awareness and understanding of performance relative to the appetite and anticipated pressure points</w:t>
      </w:r>
    </w:p>
    <w:p>
      <w:pPr>
        <w:pStyle w:val="Compact"/>
        <w:numPr>
          <w:numId w:val="1001"/>
          <w:ilvl w:val="0"/>
        </w:numPr>
      </w:pPr>
      <w:r>
        <w:t xml:space="preserve">Support businesses in preparing for, managing and responding to OSFI reviews and addressing OSFI findings</w:t>
      </w:r>
    </w:p>
    <w:p>
      <w:pPr>
        <w:pStyle w:val="Compact"/>
        <w:numPr>
          <w:numId w:val="1001"/>
          <w:ilvl w:val="0"/>
        </w:numPr>
      </w:pPr>
      <w:r>
        <w:t xml:space="preserve">Actively challenge each Function to ensure that the risk profile is balanced, comprehensive and transparent reflection of the Function compared to risk appetite</w:t>
      </w:r>
    </w:p>
    <w:p>
      <w:pPr>
        <w:pStyle w:val="Compact"/>
        <w:numPr>
          <w:numId w:val="1001"/>
          <w:ilvl w:val="0"/>
        </w:numPr>
      </w:pPr>
      <w:r>
        <w:t xml:space="preserve">Contributes to the review and in some cases sign-off of operational risk programs executed by the Functions including RCA’s, scenario analysis and initiative assessments</w:t>
      </w:r>
    </w:p>
    <w:p>
      <w:pPr>
        <w:pStyle w:val="Compact"/>
        <w:numPr>
          <w:numId w:val="1001"/>
          <w:ilvl w:val="0"/>
        </w:numPr>
      </w:pPr>
      <w:r>
        <w:t xml:space="preserve">Work directly with the leadership team of the Functions to embed understanding of the risk profile and risk appetite into strategic decisioning</w:t>
      </w:r>
    </w:p>
    <w:p>
      <w:pPr>
        <w:pStyle w:val="Compact"/>
        <w:numPr>
          <w:numId w:val="1001"/>
          <w:ilvl w:val="0"/>
        </w:numPr>
      </w:pPr>
      <w:r>
        <w:t xml:space="preserve">Coordinating the RCSA data entry for the Risk Organization</w:t>
      </w:r>
    </w:p>
    <w:p>
      <w:pPr>
        <w:pStyle w:val="Compact"/>
        <w:numPr>
          <w:numId w:val="1001"/>
          <w:ilvl w:val="0"/>
        </w:numPr>
      </w:pPr>
      <w:r>
        <w:t xml:space="preserve">Partner w/ the central control team to execute a Quality Assurance program</w:t>
      </w:r>
    </w:p>
    <w:p>
      <w:pPr>
        <w:pStyle w:val="Compact"/>
        <w:numPr>
          <w:numId w:val="1001"/>
          <w:ilvl w:val="0"/>
        </w:numPr>
      </w:pPr>
      <w:r>
        <w:t xml:space="preserve">Build and maintain strong relationships with stakeholders to facilitate open information channels and to ensure that the OR function remains aware of business change, relevant to the risk decision making process through both counsel and challenge</w:t>
      </w:r>
    </w:p>
    <w:p>
      <w:pPr>
        <w:pStyle w:val="Compact"/>
        <w:numPr>
          <w:numId w:val="1001"/>
          <w:ilvl w:val="0"/>
        </w:numPr>
      </w:pPr>
      <w:r>
        <w:t xml:space="preserve">Proactively drive the identification, assessment, measurement, mitigation and monitoring of operational risk through consumption of information from the effective deployment of Risk and Controls Self-Assessment (RCSA’s), Key Risk Indicators (KRI’s), scenario analysis, event management (monitoring of event recording, event trend analysis) and targeted risk assessments</w:t>
      </w:r>
    </w:p>
    <w:p>
      <w:pPr>
        <w:pStyle w:val="Compact"/>
        <w:numPr>
          <w:numId w:val="1001"/>
          <w:ilvl w:val="0"/>
        </w:numPr>
      </w:pPr>
      <w:r>
        <w:t xml:space="preserve">Promote and instill a strong culture of Operational Risk Management and operational excellence, partner with the business to continually improve Operational Risk processes and business operating models supporting safe business growth and informing risk related decision making</w:t>
      </w:r>
    </w:p>
    <w:p>
      <w:pPr>
        <w:pStyle w:val="Heading2"/>
      </w:pPr>
      <w:bookmarkStart w:id="23" w:name="qualifications-for-risk-oversight"/>
      <w:r>
        <w:t xml:space="preserve">Qualifications for risk oversight</w:t>
      </w:r>
      <w:bookmarkEnd w:id="23"/>
    </w:p>
    <w:p>
      <w:pPr>
        <w:pStyle w:val="Compact"/>
        <w:numPr>
          <w:numId w:val="1002"/>
          <w:ilvl w:val="0"/>
        </w:numPr>
      </w:pPr>
      <w:r>
        <w:t xml:space="preserve">History of implementing policies and procedures</w:t>
      </w:r>
    </w:p>
    <w:p>
      <w:pPr>
        <w:pStyle w:val="Compact"/>
        <w:numPr>
          <w:numId w:val="1002"/>
          <w:ilvl w:val="0"/>
        </w:numPr>
      </w:pPr>
      <w:r>
        <w:t xml:space="preserve">Highly detail and process oriented, with excellent communication and writing skills a must</w:t>
      </w:r>
    </w:p>
    <w:p>
      <w:pPr>
        <w:pStyle w:val="Compact"/>
        <w:numPr>
          <w:numId w:val="1002"/>
          <w:ilvl w:val="0"/>
        </w:numPr>
      </w:pPr>
      <w:r>
        <w:t xml:space="preserve">Broad influencing skills to drive execution</w:t>
      </w:r>
    </w:p>
    <w:p>
      <w:pPr>
        <w:pStyle w:val="Compact"/>
        <w:numPr>
          <w:numId w:val="1002"/>
          <w:ilvl w:val="0"/>
        </w:numPr>
      </w:pPr>
      <w:r>
        <w:t xml:space="preserve">Excellent knowledge of asset classes traded in the global financial markets with a focus on credit</w:t>
      </w:r>
    </w:p>
    <w:p>
      <w:pPr>
        <w:pStyle w:val="Compact"/>
        <w:numPr>
          <w:numId w:val="1002"/>
          <w:ilvl w:val="0"/>
        </w:numPr>
      </w:pPr>
      <w:r>
        <w:t xml:space="preserve">Securities, Treasury, Asset Management, Retail, Credit Cards)</w:t>
      </w:r>
    </w:p>
    <w:p>
      <w:pPr>
        <w:pStyle w:val="Compact"/>
        <w:numPr>
          <w:numId w:val="1002"/>
          <w:ilvl w:val="0"/>
        </w:numPr>
      </w:pPr>
      <w:r>
        <w:t xml:space="preserve">Detail oriented and highly organized, with the 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oversigh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oversigh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2021-10-28T12:57:20Z</dcterms:created>
  <dcterms:modified xsi:type="dcterms:W3CDTF">2021-10-28T12:57:20Z</dcterms:modified>
</cp:coreProperties>
</file>