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https://www.velvetjobs.com/job-descriptions/risk-management-consultant</w:t>
        </w:r>
      </w:hyperlink>
    </w:p>
    <w:p>
      <w:pPr>
        <w:pStyle w:val="Heading1"/>
      </w:pPr>
      <w:bookmarkStart w:id="21" w:name="example-of-risk-management-consultant-job-description"/>
      <w:r>
        <w:t xml:space="preserve">Example of Risk Management Consultant Job Description</w:t>
      </w:r>
      <w:bookmarkEnd w:id="21"/>
    </w:p>
    <w:p>
      <w:pPr>
        <w:pStyle w:val="Compact"/>
      </w:pPr>
      <w:r>
        <w:t xml:space="preserve">Our innovative and growing company is hiring for a risk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management-consultant"/>
      <w:r>
        <w:t xml:space="preserve">Responsibilities for risk management consultant</w:t>
      </w:r>
      <w:bookmarkEnd w:id="22"/>
    </w:p>
    <w:p>
      <w:pPr>
        <w:pStyle w:val="Compact"/>
        <w:numPr>
          <w:numId w:val="1001"/>
          <w:ilvl w:val="0"/>
        </w:numPr>
      </w:pPr>
      <w:r>
        <w:t xml:space="preserve">Help our clients achieve their governance and risk management objectives leveraging your business, information systems and technology audit skills</w:t>
      </w:r>
    </w:p>
    <w:p>
      <w:pPr>
        <w:pStyle w:val="Compact"/>
        <w:numPr>
          <w:numId w:val="1001"/>
          <w:ilvl w:val="0"/>
        </w:numPr>
      </w:pPr>
      <w:r>
        <w:t xml:space="preserve">Assist clients through a full range of service models, from reviews of application controls and general IT controls as part of financial statement audits</w:t>
      </w:r>
    </w:p>
    <w:p>
      <w:pPr>
        <w:pStyle w:val="Compact"/>
        <w:numPr>
          <w:numId w:val="1001"/>
          <w:ilvl w:val="0"/>
        </w:numPr>
      </w:pPr>
      <w:r>
        <w:t xml:space="preserve">Develop and maintain active communication with clients in order to manage expectations and ensure satisfaction</w:t>
      </w:r>
    </w:p>
    <w:p>
      <w:pPr>
        <w:pStyle w:val="Compact"/>
        <w:numPr>
          <w:numId w:val="1001"/>
          <w:ilvl w:val="0"/>
        </w:numPr>
      </w:pPr>
      <w:r>
        <w:t xml:space="preserve">Proactive analysis of critical processes to identify and investigate risk and unintended consequences</w:t>
      </w:r>
    </w:p>
    <w:p>
      <w:pPr>
        <w:pStyle w:val="Compact"/>
        <w:numPr>
          <w:numId w:val="1001"/>
          <w:ilvl w:val="0"/>
        </w:numPr>
      </w:pPr>
      <w:r>
        <w:t xml:space="preserve">Interact/influence cross Areas of Responsibility (AOR) and with Enterprise Leaders to communicate risk context and influence business decisions</w:t>
      </w:r>
    </w:p>
    <w:p>
      <w:pPr>
        <w:pStyle w:val="Compact"/>
        <w:numPr>
          <w:numId w:val="1001"/>
          <w:ilvl w:val="0"/>
        </w:numPr>
      </w:pPr>
      <w:r>
        <w:t xml:space="preserve">Analyze PIP risks and works with Innovation Field Support (IFS)/Field to influences control design for timely mitigation of PIP regulatory risks</w:t>
      </w:r>
    </w:p>
    <w:p>
      <w:pPr>
        <w:pStyle w:val="Compact"/>
        <w:numPr>
          <w:numId w:val="1001"/>
          <w:ilvl w:val="0"/>
        </w:numPr>
      </w:pPr>
      <w:r>
        <w:t xml:space="preserve">Work with leadership to determine risk response, to address, mitigate, avoid or transfer the risks</w:t>
      </w:r>
    </w:p>
    <w:p>
      <w:pPr>
        <w:pStyle w:val="Compact"/>
        <w:numPr>
          <w:numId w:val="1001"/>
          <w:ilvl w:val="0"/>
        </w:numPr>
      </w:pPr>
      <w:r>
        <w:t xml:space="preserve">Level 2 monitoring support of the Medicare Program</w:t>
      </w:r>
    </w:p>
    <w:p>
      <w:pPr>
        <w:pStyle w:val="Compact"/>
        <w:numPr>
          <w:numId w:val="1001"/>
          <w:ilvl w:val="0"/>
        </w:numPr>
      </w:pPr>
      <w:r>
        <w:t xml:space="preserve">Responsible for risk identification and control deficiencies at the program level</w:t>
      </w:r>
    </w:p>
    <w:p>
      <w:pPr>
        <w:pStyle w:val="Compact"/>
        <w:numPr>
          <w:numId w:val="1001"/>
          <w:ilvl w:val="0"/>
        </w:numPr>
      </w:pPr>
      <w:r>
        <w:t xml:space="preserve">Design new controls on high and business critical support projects to include Medicare and PIP regulatory touch points</w:t>
      </w:r>
    </w:p>
    <w:p>
      <w:pPr>
        <w:pStyle w:val="Heading2"/>
      </w:pPr>
      <w:bookmarkStart w:id="23" w:name="qualifications-for-risk-management-consultant"/>
      <w:r>
        <w:t xml:space="preserve">Qualifications for risk management consultant</w:t>
      </w:r>
      <w:bookmarkEnd w:id="23"/>
    </w:p>
    <w:p>
      <w:pPr>
        <w:pStyle w:val="Compact"/>
        <w:numPr>
          <w:numId w:val="1002"/>
          <w:ilvl w:val="0"/>
        </w:numPr>
      </w:pPr>
      <w:r>
        <w:t xml:space="preserve">Leading and/or supporting the delivery of projects</w:t>
      </w:r>
    </w:p>
    <w:p>
      <w:pPr>
        <w:pStyle w:val="Compact"/>
        <w:numPr>
          <w:numId w:val="1002"/>
          <w:ilvl w:val="0"/>
        </w:numPr>
      </w:pPr>
      <w:r>
        <w:t xml:space="preserve">Leading and/or supporting eminence building initiatives to strengthen Risk Advisory's leading position in the provision of GRR related services</w:t>
      </w:r>
    </w:p>
    <w:p>
      <w:pPr>
        <w:pStyle w:val="Compact"/>
        <w:numPr>
          <w:numId w:val="1002"/>
          <w:ilvl w:val="0"/>
        </w:numPr>
      </w:pPr>
      <w:r>
        <w:t xml:space="preserve">Leading and/or supporting the development of project methodologies and solutions</w:t>
      </w:r>
    </w:p>
    <w:p>
      <w:pPr>
        <w:pStyle w:val="Compact"/>
        <w:numPr>
          <w:numId w:val="1002"/>
          <w:ilvl w:val="0"/>
        </w:numPr>
      </w:pPr>
      <w:r>
        <w:t xml:space="preserve">Leading and/or supporting relationships with key financial services institutions, industry representative bodies and regulatory bodies in Hong Kong and Asia Pacific</w:t>
      </w:r>
    </w:p>
    <w:p>
      <w:pPr>
        <w:pStyle w:val="Compact"/>
        <w:numPr>
          <w:numId w:val="1002"/>
          <w:ilvl w:val="0"/>
        </w:numPr>
      </w:pPr>
      <w:r>
        <w:t xml:space="preserve">Industry experience from regulators / leading consulting firm / banking / exchange / credit agency / insurance / brokerage / private equity / asset management</w:t>
      </w:r>
    </w:p>
    <w:p>
      <w:pPr>
        <w:pStyle w:val="Compact"/>
        <w:numPr>
          <w:numId w:val="1002"/>
          <w:ilvl w:val="0"/>
        </w:numPr>
      </w:pPr>
      <w:r>
        <w:t xml:space="preserve">Familiarity with evolving and complex regulatory environment including Basel III / IFRS 9 / BCBS 239 / Solvency II in the context of financial institutions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2021-10-28T13:12:23Z</dcterms:created>
  <dcterms:modified xsi:type="dcterms:W3CDTF">2021-10-28T13:12:23Z</dcterms:modified>
</cp:coreProperties>
</file>