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https://www.velvetjobs.com/job-descriptions/risk-consultant</w:t>
        </w:r>
      </w:hyperlink>
    </w:p>
    <w:p>
      <w:pPr>
        <w:pStyle w:val="Heading1"/>
      </w:pPr>
      <w:bookmarkStart w:id="21" w:name="example-of-risk-consultant-job-description"/>
      <w:r>
        <w:t xml:space="preserve">Example of Risk Consultant Job Description</w:t>
      </w:r>
      <w:bookmarkEnd w:id="21"/>
    </w:p>
    <w:p>
      <w:pPr>
        <w:pStyle w:val="Compact"/>
      </w:pPr>
      <w:r>
        <w:t xml:space="preserve">Our company is searching for experienced candidates for the position of risk consultant. To join our growing team, please review the list of responsibilities and qualifications.</w:t>
      </w:r>
    </w:p>
    <w:p>
      <w:pPr>
        <w:pStyle w:val="Heading2"/>
      </w:pPr>
      <w:bookmarkStart w:id="22" w:name="responsibilities-for-risk-consultant"/>
      <w:r>
        <w:t xml:space="preserve">Responsibilities for risk consultant</w:t>
      </w:r>
      <w:bookmarkEnd w:id="22"/>
    </w:p>
    <w:p>
      <w:pPr>
        <w:pStyle w:val="Compact"/>
        <w:numPr>
          <w:numId w:val="1001"/>
          <w:ilvl w:val="0"/>
        </w:numPr>
      </w:pPr>
      <w:r>
        <w:t xml:space="preserve">Confidence in managing a busy work load, able to adapt to changing priorities and proactively deliver numerous activities / programmes of work</w:t>
      </w:r>
    </w:p>
    <w:p>
      <w:pPr>
        <w:pStyle w:val="Compact"/>
        <w:numPr>
          <w:numId w:val="1001"/>
          <w:ilvl w:val="0"/>
        </w:numPr>
      </w:pPr>
      <w:r>
        <w:t xml:space="preserve">Educating, influencing and challenging managers in the business in relation to their thinking about regulatory services from new perspectives, and supporting them through the process when understanding of, and interest in, this area may be limited</w:t>
      </w:r>
    </w:p>
    <w:p>
      <w:pPr>
        <w:pStyle w:val="Compact"/>
        <w:numPr>
          <w:numId w:val="1001"/>
          <w:ilvl w:val="0"/>
        </w:numPr>
      </w:pPr>
      <w:r>
        <w:t xml:space="preserve">Identifying how changes will impact on the 1825 advisory business, and ensuring amendments are made when the business landscape is constantly changing and the individual business units are not your main area of expertise</w:t>
      </w:r>
    </w:p>
    <w:p>
      <w:pPr>
        <w:pStyle w:val="Compact"/>
        <w:numPr>
          <w:numId w:val="1001"/>
          <w:ilvl w:val="0"/>
        </w:numPr>
      </w:pPr>
      <w:r>
        <w:t xml:space="preserve">Teach courses and train others within PSD to be instructors</w:t>
      </w:r>
    </w:p>
    <w:p>
      <w:pPr>
        <w:pStyle w:val="Compact"/>
        <w:numPr>
          <w:numId w:val="1001"/>
          <w:ilvl w:val="0"/>
        </w:numPr>
      </w:pPr>
      <w:r>
        <w:t xml:space="preserve">Collaborate with internal organizations, ie education, product management, R&amp;D, pre-sales, to share and coordinate material as appropriate</w:t>
      </w:r>
    </w:p>
    <w:p>
      <w:pPr>
        <w:pStyle w:val="Compact"/>
        <w:numPr>
          <w:numId w:val="1001"/>
          <w:ilvl w:val="0"/>
        </w:numPr>
      </w:pPr>
      <w:r>
        <w:t xml:space="preserve">Work within this thriving Manchester team to manage the delivery of flood risk, water engineering, and drainage solutions on projects for a range of public and private sector clients within the UK</w:t>
      </w:r>
    </w:p>
    <w:p>
      <w:pPr>
        <w:pStyle w:val="Compact"/>
        <w:numPr>
          <w:numId w:val="1001"/>
          <w:ilvl w:val="0"/>
        </w:numPr>
      </w:pPr>
      <w:r>
        <w:t xml:space="preserve">Work with our technical specialists in Manchester and other parts of the UK</w:t>
      </w:r>
    </w:p>
    <w:p>
      <w:pPr>
        <w:pStyle w:val="Compact"/>
        <w:numPr>
          <w:numId w:val="1001"/>
          <w:ilvl w:val="0"/>
        </w:numPr>
      </w:pPr>
      <w:r>
        <w:t xml:space="preserve">Work on hydrology, flood risk models and mapping</w:t>
      </w:r>
    </w:p>
    <w:p>
      <w:pPr>
        <w:pStyle w:val="Compact"/>
        <w:numPr>
          <w:numId w:val="1001"/>
          <w:ilvl w:val="0"/>
        </w:numPr>
      </w:pPr>
      <w:r>
        <w:t xml:space="preserve">Work with clients on complex flood risk issues to achieve the best possible outcomes</w:t>
      </w:r>
    </w:p>
    <w:p>
      <w:pPr>
        <w:pStyle w:val="Compact"/>
        <w:numPr>
          <w:numId w:val="1001"/>
          <w:ilvl w:val="0"/>
        </w:numPr>
      </w:pPr>
      <w:r>
        <w:t xml:space="preserve">Managing the scope and scale of services delivered to a portfolio of clients, based on client expectations, underwriting requirements and service cost constraints</w:t>
      </w:r>
    </w:p>
    <w:p>
      <w:pPr>
        <w:pStyle w:val="Heading2"/>
      </w:pPr>
      <w:bookmarkStart w:id="23" w:name="qualifications-for-risk-consultant"/>
      <w:r>
        <w:t xml:space="preserve">Qualifications for risk consultant</w:t>
      </w:r>
      <w:bookmarkEnd w:id="23"/>
    </w:p>
    <w:p>
      <w:pPr>
        <w:pStyle w:val="Compact"/>
        <w:numPr>
          <w:numId w:val="1002"/>
          <w:ilvl w:val="0"/>
        </w:numPr>
      </w:pPr>
      <w:r>
        <w:t xml:space="preserve">NIST 800 series and FISMA</w:t>
      </w:r>
    </w:p>
    <w:p>
      <w:pPr>
        <w:pStyle w:val="Compact"/>
        <w:numPr>
          <w:numId w:val="1002"/>
          <w:ilvl w:val="0"/>
        </w:numPr>
      </w:pPr>
      <w:r>
        <w:t xml:space="preserve">Your intellectual curiosity allows you to absorb new concepts quickly, think independently and develop creative and novel approaches to help our clients solve their problems</w:t>
      </w:r>
    </w:p>
    <w:p>
      <w:pPr>
        <w:pStyle w:val="Compact"/>
        <w:numPr>
          <w:numId w:val="1002"/>
          <w:ilvl w:val="0"/>
        </w:numPr>
      </w:pPr>
      <w:r>
        <w:t xml:space="preserve">Strong interpersonal, organizational and communication skills help you to cope with the demands of day-to-day business on projects</w:t>
      </w:r>
    </w:p>
    <w:p>
      <w:pPr>
        <w:pStyle w:val="Compact"/>
        <w:numPr>
          <w:numId w:val="1002"/>
          <w:ilvl w:val="0"/>
        </w:numPr>
      </w:pPr>
      <w:r>
        <w:t xml:space="preserve">Since we run a global business, a willingness to travel frequently is required (65% - 100%)</w:t>
      </w:r>
    </w:p>
    <w:p>
      <w:pPr>
        <w:pStyle w:val="Compact"/>
        <w:numPr>
          <w:numId w:val="1002"/>
          <w:ilvl w:val="0"/>
        </w:numPr>
      </w:pPr>
      <w:r>
        <w:t xml:space="preserve">To ensure that revenue from this portfolio is profitable and to expand business lines and service delivery where appropriate</w:t>
      </w:r>
    </w:p>
    <w:p>
      <w:pPr>
        <w:pStyle w:val="Compact"/>
        <w:numPr>
          <w:numId w:val="1002"/>
          <w:ilvl w:val="0"/>
        </w:numPr>
      </w:pPr>
      <w:r>
        <w:t xml:space="preserve">Strong reporting, testing/monitoring and exception/resolution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2021-10-28T13:26:28Z</dcterms:created>
  <dcterms:modified xsi:type="dcterms:W3CDTF">2021-10-28T13:26:28Z</dcterms:modified>
</cp:coreProperties>
</file>