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https://www.velvetjobs.com/job-descriptions/research-asst</w:t>
        </w:r>
      </w:hyperlink>
    </w:p>
    <w:p>
      <w:pPr>
        <w:pStyle w:val="Heading1"/>
      </w:pPr>
      <w:bookmarkStart w:id="21" w:name="example-of-research-asst-job-description"/>
      <w:r>
        <w:t xml:space="preserve">Example of Research Asst Job Description</w:t>
      </w:r>
      <w:bookmarkEnd w:id="21"/>
    </w:p>
    <w:p>
      <w:pPr>
        <w:pStyle w:val="Compact"/>
      </w:pPr>
      <w:r>
        <w:t xml:space="preserve">Our growing company is hiring for a research asst.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sst"/>
      <w:r>
        <w:t xml:space="preserve">Responsibilities for research asst</w:t>
      </w:r>
      <w:bookmarkEnd w:id="22"/>
    </w:p>
    <w:p>
      <w:pPr>
        <w:pStyle w:val="Compact"/>
        <w:numPr>
          <w:numId w:val="1001"/>
          <w:ilvl w:val="0"/>
        </w:numPr>
      </w:pPr>
      <w:r>
        <w:t xml:space="preserve">Orient, train and educate new lab members in proper research techniques and health/safety regulations</w:t>
      </w:r>
    </w:p>
    <w:p>
      <w:pPr>
        <w:pStyle w:val="Compact"/>
        <w:numPr>
          <w:numId w:val="1001"/>
          <w:ilvl w:val="0"/>
        </w:numPr>
      </w:pPr>
      <w:r>
        <w:t xml:space="preserve">Track grant spending and research product literature to select and order specialized materials and supplies</w:t>
      </w:r>
    </w:p>
    <w:p>
      <w:pPr>
        <w:pStyle w:val="Compact"/>
        <w:numPr>
          <w:numId w:val="1001"/>
          <w:ilvl w:val="0"/>
        </w:numPr>
      </w:pPr>
      <w:r>
        <w:t xml:space="preserve">Assist with recruitment of participants of the driving study</w:t>
      </w:r>
    </w:p>
    <w:p>
      <w:pPr>
        <w:pStyle w:val="Compact"/>
        <w:numPr>
          <w:numId w:val="1001"/>
          <w:ilvl w:val="0"/>
        </w:numPr>
      </w:pPr>
      <w:r>
        <w:t xml:space="preserve">Perform in vitro assays (virologic/cell biologic/immunologic/biochemical/molecular) and animal experiments based on research objectives</w:t>
      </w:r>
    </w:p>
    <w:p>
      <w:pPr>
        <w:pStyle w:val="Compact"/>
        <w:numPr>
          <w:numId w:val="1001"/>
          <w:ilvl w:val="0"/>
        </w:numPr>
      </w:pPr>
      <w:r>
        <w:t xml:space="preserve">Provides assistance and support with coordination of conference calls and meetings for health care leaders and executives</w:t>
      </w:r>
    </w:p>
    <w:p>
      <w:pPr>
        <w:pStyle w:val="Compact"/>
        <w:numPr>
          <w:numId w:val="1001"/>
          <w:ilvl w:val="0"/>
        </w:numPr>
      </w:pPr>
      <w:r>
        <w:t xml:space="preserve">Assists with collecting and reviewing clinical trial regulatory documents, including but not limited to, signed curriculum vitae, professional licensure, certification of human subjects protection and Good Clinical Practice education as per CTCC Standard Operating Procedures</w:t>
      </w:r>
    </w:p>
    <w:p>
      <w:pPr>
        <w:pStyle w:val="Compact"/>
        <w:numPr>
          <w:numId w:val="1001"/>
          <w:ilvl w:val="0"/>
        </w:numPr>
      </w:pPr>
      <w:r>
        <w:t xml:space="preserve">Reviews paper and electronic regulatory documents for accuracy and content</w:t>
      </w:r>
    </w:p>
    <w:p>
      <w:pPr>
        <w:pStyle w:val="Compact"/>
        <w:numPr>
          <w:numId w:val="1001"/>
          <w:ilvl w:val="0"/>
        </w:numPr>
      </w:pPr>
      <w:r>
        <w:t xml:space="preserve">Liaise between in-house personnel and site personnel to ensure site regulatory documents are collected, filed, and archived in compliance with Federal Regulations, Good Clinical Practice and Standard Operating Procedures</w:t>
      </w:r>
    </w:p>
    <w:p>
      <w:pPr>
        <w:pStyle w:val="Compact"/>
        <w:numPr>
          <w:numId w:val="1001"/>
          <w:ilvl w:val="0"/>
        </w:numPr>
      </w:pPr>
      <w:r>
        <w:t xml:space="preserve">Assists with updating central database of clinical trial regulatory documents, ensuring renewals of expiring documents are obtained, documented and filed</w:t>
      </w:r>
    </w:p>
    <w:p>
      <w:pPr>
        <w:pStyle w:val="Compact"/>
        <w:numPr>
          <w:numId w:val="1001"/>
          <w:ilvl w:val="0"/>
        </w:numPr>
      </w:pPr>
      <w:r>
        <w:t xml:space="preserve">Other regulatory document tasks as needed</w:t>
      </w:r>
    </w:p>
    <w:p>
      <w:pPr>
        <w:pStyle w:val="Heading2"/>
      </w:pPr>
      <w:bookmarkStart w:id="23" w:name="qualifications-for-research-asst"/>
      <w:r>
        <w:t xml:space="preserve">Qualifications for research asst</w:t>
      </w:r>
      <w:bookmarkEnd w:id="23"/>
    </w:p>
    <w:p>
      <w:pPr>
        <w:pStyle w:val="Compact"/>
        <w:numPr>
          <w:numId w:val="1002"/>
          <w:ilvl w:val="0"/>
        </w:numPr>
      </w:pPr>
      <w:r>
        <w:t xml:space="preserve">Experience with Excel and Excel VBA</w:t>
      </w:r>
    </w:p>
    <w:p>
      <w:pPr>
        <w:pStyle w:val="Compact"/>
        <w:numPr>
          <w:numId w:val="1002"/>
          <w:ilvl w:val="0"/>
        </w:numPr>
      </w:pPr>
      <w:r>
        <w:t xml:space="preserve">Research and Analysis of our Best Views Calibrations Services – in particular the capital market and economics assumptions and the methodologies used in calibration, validation and attribution</w:t>
      </w:r>
    </w:p>
    <w:p>
      <w:pPr>
        <w:pStyle w:val="Compact"/>
        <w:numPr>
          <w:numId w:val="1002"/>
          <w:ilvl w:val="0"/>
        </w:numPr>
      </w:pPr>
      <w:r>
        <w:t xml:space="preserve">Contribute to the production, management and documentation of our Real World assumptions setting methodologies across credit risky debt, equity, inflation and macroeconomic variables, and interest rates</w:t>
      </w:r>
    </w:p>
    <w:p>
      <w:pPr>
        <w:pStyle w:val="Compact"/>
        <w:numPr>
          <w:numId w:val="1002"/>
          <w:ilvl w:val="0"/>
        </w:numPr>
      </w:pPr>
      <w:r>
        <w:t xml:space="preserve">Championing our methods and approaches internally and with clients</w:t>
      </w:r>
    </w:p>
    <w:p>
      <w:pPr>
        <w:pStyle w:val="Compact"/>
        <w:numPr>
          <w:numId w:val="1002"/>
          <w:ilvl w:val="0"/>
        </w:numPr>
      </w:pPr>
      <w:r>
        <w:t xml:space="preserve">Lead research projects and development initiatives in our products</w:t>
      </w:r>
    </w:p>
    <w:p>
      <w:pPr>
        <w:pStyle w:val="Compact"/>
        <w:numPr>
          <w:numId w:val="1002"/>
          <w:ilvl w:val="0"/>
        </w:numPr>
      </w:pPr>
      <w:r>
        <w:t xml:space="preserve">Improving our validation analysis and communication of our modelling and assumption setting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2021-10-28T18:35:43Z</dcterms:created>
  <dcterms:modified xsi:type="dcterms:W3CDTF">2021-10-28T18:35:43Z</dcterms:modified>
</cp:coreProperties>
</file>