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https://www.velvetjobs.com/job-descriptions/regulatory-risk</w:t>
        </w:r>
      </w:hyperlink>
    </w:p>
    <w:p>
      <w:pPr>
        <w:pStyle w:val="Heading1"/>
      </w:pPr>
      <w:bookmarkStart w:id="21" w:name="example-of-regulatory-risk-job-description"/>
      <w:r>
        <w:t xml:space="preserve">Example of Regulatory Risk Job Description</w:t>
      </w:r>
      <w:bookmarkEnd w:id="21"/>
    </w:p>
    <w:p>
      <w:pPr>
        <w:pStyle w:val="Compact"/>
      </w:pPr>
      <w:r>
        <w:t xml:space="preserve">Our growing company is looking for a regulatory risk.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ulatory-risk"/>
      <w:r>
        <w:t xml:space="preserve">Responsibilities for regulatory risk</w:t>
      </w:r>
      <w:bookmarkEnd w:id="22"/>
    </w:p>
    <w:p>
      <w:pPr>
        <w:pStyle w:val="Compact"/>
        <w:numPr>
          <w:numId w:val="1001"/>
          <w:ilvl w:val="0"/>
        </w:numPr>
      </w:pPr>
      <w:r>
        <w:t xml:space="preserve">Facilitates and maintains an Infection Prevention program that meets the regulatory standards of accrediting and licensure agencies</w:t>
      </w:r>
    </w:p>
    <w:p>
      <w:pPr>
        <w:pStyle w:val="Compact"/>
        <w:numPr>
          <w:numId w:val="1001"/>
          <w:ilvl w:val="0"/>
        </w:numPr>
      </w:pPr>
      <w:r>
        <w:t xml:space="preserve">Coordinate with Group and Operating Entity personnel in assessing and maintaining the ACGL Risk Management Framework and ensuring adherence to industry best practices</w:t>
      </w:r>
    </w:p>
    <w:p>
      <w:pPr>
        <w:pStyle w:val="Compact"/>
        <w:numPr>
          <w:numId w:val="1001"/>
          <w:ilvl w:val="0"/>
        </w:numPr>
      </w:pPr>
      <w:r>
        <w:t xml:space="preserve">Assist in conducting Group and Operating Entity risk assessment activities and monitor corresponding Risk Register updates</w:t>
      </w:r>
    </w:p>
    <w:p>
      <w:pPr>
        <w:pStyle w:val="Compact"/>
        <w:numPr>
          <w:numId w:val="1001"/>
          <w:ilvl w:val="0"/>
        </w:numPr>
      </w:pPr>
      <w:r>
        <w:t xml:space="preserve">Monitor adherence to Group Risk Governance practices, including Risk Policy formulation and updates</w:t>
      </w:r>
    </w:p>
    <w:p>
      <w:pPr>
        <w:pStyle w:val="Compact"/>
        <w:numPr>
          <w:numId w:val="1001"/>
          <w:ilvl w:val="0"/>
        </w:numPr>
      </w:pPr>
      <w:r>
        <w:t xml:space="preserve">Coordinate the aggregation of Group risk information in order to identify, assess, monitor, and treat risks in one central solution</w:t>
      </w:r>
    </w:p>
    <w:p>
      <w:pPr>
        <w:pStyle w:val="Compact"/>
        <w:numPr>
          <w:numId w:val="1001"/>
          <w:ilvl w:val="0"/>
        </w:numPr>
      </w:pPr>
      <w:r>
        <w:t xml:space="preserve">Assist in establishing core Risk governance elements in new Arch entities and advise local Risk Committees on risk management trends and developments</w:t>
      </w:r>
    </w:p>
    <w:p>
      <w:pPr>
        <w:pStyle w:val="Compact"/>
        <w:numPr>
          <w:numId w:val="1001"/>
          <w:ilvl w:val="0"/>
        </w:numPr>
      </w:pPr>
      <w:r>
        <w:t xml:space="preserve">Coordinate relevant stress testing analyses and participate in ORSA processes and reporting</w:t>
      </w:r>
    </w:p>
    <w:p>
      <w:pPr>
        <w:pStyle w:val="Compact"/>
        <w:numPr>
          <w:numId w:val="1001"/>
          <w:ilvl w:val="0"/>
        </w:numPr>
      </w:pPr>
      <w:r>
        <w:t xml:space="preserve">Provide input to the capital assessment processes</w:t>
      </w:r>
    </w:p>
    <w:p>
      <w:pPr>
        <w:pStyle w:val="Compact"/>
        <w:numPr>
          <w:numId w:val="1001"/>
          <w:ilvl w:val="0"/>
        </w:numPr>
      </w:pPr>
      <w:r>
        <w:t xml:space="preserve">Liaise with the Bermuda Monetary Authority (“BMA”) and other regulatory bodies and provide regulatory advice to Group and Operating Entity management</w:t>
      </w:r>
    </w:p>
    <w:p>
      <w:pPr>
        <w:pStyle w:val="Compact"/>
        <w:numPr>
          <w:numId w:val="1001"/>
          <w:ilvl w:val="0"/>
        </w:numPr>
      </w:pPr>
      <w:r>
        <w:t xml:space="preserve">Support Technology Risk Governance programs for deep dives, integrated control function calendars, challenge functions, fraud risk, framework analysis, and other programs, with research, documentation, tracking and monitoring of technology risk activities</w:t>
      </w:r>
    </w:p>
    <w:p>
      <w:pPr>
        <w:pStyle w:val="Heading2"/>
      </w:pPr>
      <w:bookmarkStart w:id="23" w:name="qualifications-for-regulatory-risk"/>
      <w:r>
        <w:t xml:space="preserve">Qualifications for regulatory risk</w:t>
      </w:r>
      <w:bookmarkEnd w:id="23"/>
    </w:p>
    <w:p>
      <w:pPr>
        <w:pStyle w:val="Compact"/>
        <w:numPr>
          <w:numId w:val="1002"/>
          <w:ilvl w:val="0"/>
        </w:numPr>
      </w:pPr>
      <w:r>
        <w:t xml:space="preserve">Four-year college degree or equivalent combination of education, training and work experience is required</w:t>
      </w:r>
    </w:p>
    <w:p>
      <w:pPr>
        <w:pStyle w:val="Compact"/>
        <w:numPr>
          <w:numId w:val="1002"/>
          <w:ilvl w:val="0"/>
        </w:numPr>
      </w:pPr>
      <w:r>
        <w:t xml:space="preserve">The SQL Developer/Analyst will also need to be able to work effectively with business users to understand the nature of requests, define and address ambiguous requirements, and ensure accurate information delivery</w:t>
      </w:r>
    </w:p>
    <w:p>
      <w:pPr>
        <w:pStyle w:val="Compact"/>
        <w:numPr>
          <w:numId w:val="1002"/>
          <w:ilvl w:val="0"/>
        </w:numPr>
      </w:pPr>
      <w:r>
        <w:t xml:space="preserve">Identify, escalate and report on, material issues arising in conduct risk and from regulatory developments as required (including within the RC functions) to relevant management and to ensure incorporation of those issues and developments into relevant RC activity (including policy work, risk assessments )</w:t>
      </w:r>
    </w:p>
    <w:p>
      <w:pPr>
        <w:pStyle w:val="Compact"/>
        <w:numPr>
          <w:numId w:val="1002"/>
          <w:ilvl w:val="0"/>
        </w:numPr>
      </w:pPr>
      <w:r>
        <w:t xml:space="preserve">Ensure appropriate reporting to the Global Head of Conduct Compliance (GHCC) on conduct risk related matters (including development and implementation)</w:t>
      </w:r>
    </w:p>
    <w:p>
      <w:pPr>
        <w:pStyle w:val="Compact"/>
        <w:numPr>
          <w:numId w:val="1002"/>
          <w:ilvl w:val="0"/>
        </w:numPr>
      </w:pPr>
      <w:r>
        <w:t xml:space="preserve">Foster collaboration and sharing of best practices in policy drafting, controls, monitoring, training and communication among all FCC/RC sub-functions</w:t>
      </w:r>
    </w:p>
    <w:p>
      <w:pPr>
        <w:pStyle w:val="Compact"/>
        <w:numPr>
          <w:numId w:val="1002"/>
          <w:ilvl w:val="0"/>
        </w:numPr>
      </w:pPr>
      <w:r>
        <w:t xml:space="preserve">Seasoned professional with experience in senior risk compliance roles, ideally to include Regulatory Compliance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ulatory-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ulatory-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2021-10-28T18:38:02Z</dcterms:created>
  <dcterms:modified xsi:type="dcterms:W3CDTF">2021-10-28T18:38:02Z</dcterms:modified>
</cp:coreProperties>
</file>