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https://www.velvetjobs.com/job-descriptions/registered-nurse-wound-care</w:t>
        </w:r>
      </w:hyperlink>
    </w:p>
    <w:p>
      <w:pPr>
        <w:pStyle w:val="Heading1"/>
      </w:pPr>
      <w:bookmarkStart w:id="21" w:name="example-of-registered-nurse-wound-care-job-description"/>
      <w:r>
        <w:t xml:space="preserve">Example of Registered Nurse Wound Care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registered nurse wound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wound-care"/>
      <w:r>
        <w:t xml:space="preserve">Responsibilities for registered nurse wound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keep patients informed of anticipated responses to treatment</w:t>
      </w:r>
    </w:p>
    <w:p>
      <w:pPr>
        <w:pStyle w:val="Compact"/>
        <w:numPr>
          <w:numId w:val="1001"/>
          <w:ilvl w:val="0"/>
        </w:numPr>
      </w:pPr>
      <w:r>
        <w:t xml:space="preserve">Adheres to guidelines or standards of practice, community, associate hospital, and all current CWH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Assumes active role in CWH by participating at staff meetings and other center related activities</w:t>
      </w:r>
    </w:p>
    <w:p>
      <w:pPr>
        <w:pStyle w:val="Compact"/>
        <w:numPr>
          <w:numId w:val="1001"/>
          <w:ilvl w:val="0"/>
        </w:numPr>
      </w:pPr>
      <w:r>
        <w:t xml:space="preserve">Assumes patient advocate role protecting all patient rights</w:t>
      </w:r>
    </w:p>
    <w:p>
      <w:pPr>
        <w:pStyle w:val="Compact"/>
        <w:numPr>
          <w:numId w:val="1001"/>
          <w:ilvl w:val="0"/>
        </w:numPr>
      </w:pPr>
      <w:r>
        <w:t xml:space="preserve">Attends all mandatory education programs and some additional continuing professional education functions to enhance skills and knowledge</w:t>
      </w:r>
    </w:p>
    <w:p>
      <w:pPr>
        <w:pStyle w:val="Compact"/>
        <w:numPr>
          <w:numId w:val="1001"/>
          <w:ilvl w:val="0"/>
        </w:numPr>
      </w:pPr>
      <w:r>
        <w:t xml:space="preserve">Consistently responds to internal and external customers in a professional manner</w:t>
      </w:r>
    </w:p>
    <w:p>
      <w:pPr>
        <w:pStyle w:val="Compact"/>
        <w:numPr>
          <w:numId w:val="1001"/>
          <w:ilvl w:val="0"/>
        </w:numPr>
      </w:pPr>
      <w:r>
        <w:t xml:space="preserve">Delegates tasks to appropriate skill level providing needed supervision for quality follow-through</w:t>
      </w:r>
    </w:p>
    <w:p>
      <w:pPr>
        <w:pStyle w:val="Compact"/>
        <w:numPr>
          <w:numId w:val="1001"/>
          <w:ilvl w:val="0"/>
        </w:numPr>
      </w:pPr>
      <w:r>
        <w:t xml:space="preserve">Demonstrates competent utilization of interview examination and observation techniques with patient and significant others</w:t>
      </w:r>
    </w:p>
    <w:p>
      <w:pPr>
        <w:pStyle w:val="Compact"/>
        <w:numPr>
          <w:numId w:val="1001"/>
          <w:ilvl w:val="0"/>
        </w:numPr>
      </w:pPr>
      <w:r>
        <w:t xml:space="preserve">Demonstrates competence in ordered treatments (see competency assessment)</w:t>
      </w:r>
    </w:p>
    <w:p>
      <w:pPr>
        <w:pStyle w:val="Compact"/>
        <w:numPr>
          <w:numId w:val="1001"/>
          <w:ilvl w:val="0"/>
        </w:numPr>
      </w:pPr>
      <w:r>
        <w:t xml:space="preserve">Demonstrates competence in patient and family education in topics of wound care</w:t>
      </w:r>
    </w:p>
    <w:p>
      <w:pPr>
        <w:pStyle w:val="Heading2"/>
      </w:pPr>
      <w:bookmarkStart w:id="23" w:name="qualifications-for-registered-nurse-wound-care"/>
      <w:r>
        <w:t xml:space="preserve">Qualifications for registered nurse wound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from Registered Nurse program, bachelor’s preferred</w:t>
      </w:r>
    </w:p>
    <w:p>
      <w:pPr>
        <w:pStyle w:val="Compact"/>
        <w:numPr>
          <w:numId w:val="1002"/>
          <w:ilvl w:val="0"/>
        </w:numPr>
      </w:pPr>
      <w:r>
        <w:t xml:space="preserve">Four to six years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TX licensure as Registered Nurse</w:t>
      </w:r>
    </w:p>
    <w:p>
      <w:pPr>
        <w:pStyle w:val="Compact"/>
        <w:numPr>
          <w:numId w:val="1002"/>
          <w:ilvl w:val="0"/>
        </w:numPr>
      </w:pPr>
      <w:r>
        <w:t xml:space="preserve">Current R</w:t>
      </w:r>
    </w:p>
    <w:p>
      <w:pPr>
        <w:pStyle w:val="Compact"/>
        <w:numPr>
          <w:numId w:val="1002"/>
          <w:ilvl w:val="0"/>
        </w:numPr>
      </w:pPr>
      <w:r>
        <w:t xml:space="preserve">Eligible candidates will have extensive knowledge of Wound and ostomy assessment, educational pathways and treatment options</w:t>
      </w:r>
    </w:p>
    <w:p>
      <w:pPr>
        <w:pStyle w:val="Compact"/>
        <w:numPr>
          <w:numId w:val="1002"/>
          <w:ilvl w:val="0"/>
        </w:numPr>
      </w:pPr>
      <w:r>
        <w:t xml:space="preserve">Current Registered Nurse licensure in the State of Utah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wound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wound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2021-10-28T12:53:06Z</dcterms:created>
  <dcterms:modified xsi:type="dcterms:W3CDTF">2021-10-28T12:53:06Z</dcterms:modified>
</cp:coreProperties>
</file>