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https://www.velvetjobs.com/job-descriptions/readiness-manager</w:t>
        </w:r>
      </w:hyperlink>
    </w:p>
    <w:p>
      <w:pPr>
        <w:pStyle w:val="Heading1"/>
      </w:pPr>
      <w:bookmarkStart w:id="21" w:name="example-of-readiness-manager-job-description"/>
      <w:r>
        <w:t xml:space="preserve">Example of Readiness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readiness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adiness-manager"/>
      <w:r>
        <w:t xml:space="preserve">Responsibilities for readiness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APJ Sales field staff leaders to understand business strategy and goals</w:t>
      </w:r>
    </w:p>
    <w:p>
      <w:pPr>
        <w:pStyle w:val="Compact"/>
        <w:numPr>
          <w:numId w:val="1001"/>
          <w:ilvl w:val="0"/>
        </w:numPr>
      </w:pPr>
      <w:r>
        <w:t xml:space="preserve">Manage the delivery roll out process throughout APJ with the help of the Enablement leaders in the region</w:t>
      </w:r>
    </w:p>
    <w:p>
      <w:pPr>
        <w:pStyle w:val="Compact"/>
        <w:numPr>
          <w:numId w:val="1001"/>
          <w:ilvl w:val="0"/>
        </w:numPr>
      </w:pPr>
      <w:r>
        <w:t xml:space="preserve">Goal, incentivize, develop the enablement team in the regions</w:t>
      </w:r>
    </w:p>
    <w:p>
      <w:pPr>
        <w:pStyle w:val="Compact"/>
        <w:numPr>
          <w:numId w:val="1001"/>
          <w:ilvl w:val="0"/>
        </w:numPr>
      </w:pPr>
      <w:r>
        <w:t xml:space="preserve">Collaborate with colleagues in the APJ enablement team on pan organizational programs – tech/partner</w:t>
      </w:r>
    </w:p>
    <w:p>
      <w:pPr>
        <w:pStyle w:val="Compact"/>
        <w:numPr>
          <w:numId w:val="1001"/>
          <w:ilvl w:val="0"/>
        </w:numPr>
      </w:pPr>
      <w:r>
        <w:t xml:space="preserve">Collaborate with BD functions and country Risk teams to ensure readiness for Risk owned work streams including data rooms, data tapes and inputs to information memoranda</w:t>
      </w:r>
    </w:p>
    <w:p>
      <w:pPr>
        <w:pStyle w:val="Compact"/>
        <w:numPr>
          <w:numId w:val="1001"/>
          <w:ilvl w:val="0"/>
        </w:numPr>
      </w:pPr>
      <w:r>
        <w:t xml:space="preserve">Ensure data supplied is accurate and balanced to provide bidders with adequate information to assess transaction whilst protecting sensitive data until an appropriate time to disclose</w:t>
      </w:r>
    </w:p>
    <w:p>
      <w:pPr>
        <w:pStyle w:val="Compact"/>
        <w:numPr>
          <w:numId w:val="1001"/>
          <w:ilvl w:val="0"/>
        </w:numPr>
      </w:pPr>
      <w:r>
        <w:t xml:space="preserve">Reconciliation of risk data provided to Risk and finance reporting with specific emphasis on portfolio quality and cost of Risk (on a USGAAP basis)</w:t>
      </w:r>
    </w:p>
    <w:p>
      <w:pPr>
        <w:pStyle w:val="Compact"/>
        <w:numPr>
          <w:numId w:val="1001"/>
          <w:ilvl w:val="0"/>
        </w:numPr>
      </w:pPr>
      <w:r>
        <w:t xml:space="preserve">Source and manage risk resources with appropriate skill sets for each due diligence</w:t>
      </w:r>
    </w:p>
    <w:p>
      <w:pPr>
        <w:pStyle w:val="Compact"/>
        <w:numPr>
          <w:numId w:val="1001"/>
          <w:ilvl w:val="0"/>
        </w:numPr>
      </w:pPr>
      <w:r>
        <w:t xml:space="preserve">Ensure risks and trailing assets/liabilities within disposal process for each transaction are identified</w:t>
      </w:r>
    </w:p>
    <w:p>
      <w:pPr>
        <w:pStyle w:val="Compact"/>
        <w:numPr>
          <w:numId w:val="1001"/>
          <w:ilvl w:val="0"/>
        </w:numPr>
      </w:pPr>
      <w:r>
        <w:t xml:space="preserve">Input into contractual protections, warranties and indemnities to ensure they are appropriate</w:t>
      </w:r>
    </w:p>
    <w:p>
      <w:pPr>
        <w:pStyle w:val="Heading2"/>
      </w:pPr>
      <w:bookmarkStart w:id="23" w:name="qualifications-for-readiness-manager"/>
      <w:r>
        <w:t xml:space="preserve">Qualifications for readiness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project manager within Investment Banking</w:t>
      </w:r>
    </w:p>
    <w:p>
      <w:pPr>
        <w:pStyle w:val="Compact"/>
        <w:numPr>
          <w:numId w:val="1002"/>
          <w:ilvl w:val="0"/>
        </w:numPr>
      </w:pPr>
      <w:r>
        <w:t xml:space="preserve">Strong front-to-back understanding of Investment Banking Operations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project lifecycle, and full project lifecycle experience of change delivery</w:t>
      </w:r>
    </w:p>
    <w:p>
      <w:pPr>
        <w:pStyle w:val="Compact"/>
        <w:numPr>
          <w:numId w:val="1002"/>
          <w:ilvl w:val="0"/>
        </w:numPr>
      </w:pPr>
      <w:r>
        <w:t xml:space="preserve">Experience of Collateral and Valuations within a line or projects context</w:t>
      </w:r>
    </w:p>
    <w:p>
      <w:pPr>
        <w:pStyle w:val="Compact"/>
        <w:numPr>
          <w:numId w:val="1002"/>
          <w:ilvl w:val="0"/>
        </w:numPr>
      </w:pPr>
      <w:r>
        <w:t xml:space="preserve">Experience within the Front Office, in a line or projects context</w:t>
      </w:r>
    </w:p>
    <w:p>
      <w:pPr>
        <w:pStyle w:val="Compact"/>
        <w:numPr>
          <w:numId w:val="1002"/>
          <w:ilvl w:val="0"/>
        </w:numPr>
      </w:pPr>
      <w:r>
        <w:t xml:space="preserve">Experience in delivering regulatory change, especially Mifir/Mifid2, DF/EMIR, CFTC, BCBS IOSCO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d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d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2021-10-28T13:00:36Z</dcterms:created>
  <dcterms:modified xsi:type="dcterms:W3CDTF">2021-10-28T13:00:36Z</dcterms:modified>
</cp:coreProperties>
</file>