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https://www.velvetjobs.com/job-descriptions/project-scientist</w:t>
        </w:r>
      </w:hyperlink>
    </w:p>
    <w:p>
      <w:pPr>
        <w:pStyle w:val="Heading1"/>
      </w:pPr>
      <w:bookmarkStart w:id="21" w:name="example-of-project-scientist-job-description"/>
      <w:r>
        <w:t xml:space="preserve">Example of Project Scientist Job Description</w:t>
      </w:r>
      <w:bookmarkEnd w:id="21"/>
    </w:p>
    <w:p>
      <w:pPr>
        <w:pStyle w:val="Compact"/>
      </w:pPr>
      <w:r>
        <w:t xml:space="preserve">Our company is growing rapidly and is looking for a project scientist.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scientist"/>
      <w:r>
        <w:t xml:space="preserve">Responsibilities for project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Project Team members</w:t>
      </w:r>
    </w:p>
    <w:p>
      <w:pPr>
        <w:pStyle w:val="Compact"/>
        <w:numPr>
          <w:numId w:val="1001"/>
          <w:ilvl w:val="0"/>
        </w:numPr>
      </w:pPr>
      <w:r>
        <w:t xml:space="preserve">Demonstrated ability to deliver assigned research project objectives and report outcomes within a specified timeframe whilst working under the broad direction of a supervisor</w:t>
      </w:r>
    </w:p>
    <w:p>
      <w:pPr>
        <w:pStyle w:val="Compact"/>
        <w:numPr>
          <w:numId w:val="1001"/>
          <w:ilvl w:val="0"/>
        </w:numPr>
      </w:pPr>
      <w:r>
        <w:t xml:space="preserve">Ability in applying scientific problem solving and research to solve measurement problems</w:t>
      </w:r>
    </w:p>
    <w:p>
      <w:pPr>
        <w:pStyle w:val="Compact"/>
        <w:numPr>
          <w:numId w:val="1001"/>
          <w:ilvl w:val="0"/>
        </w:numPr>
      </w:pPr>
      <w:r>
        <w:t xml:space="preserve">Ability to plan laboratory experiments and use experimental apparatus or instrumentation</w:t>
      </w:r>
    </w:p>
    <w:p>
      <w:pPr>
        <w:pStyle w:val="Compact"/>
        <w:numPr>
          <w:numId w:val="1001"/>
          <w:ilvl w:val="0"/>
        </w:numPr>
      </w:pPr>
      <w:r>
        <w:t xml:space="preserve">Using applicable project management software tools to create periodic updates and display project status, available funds, animal resources</w:t>
      </w:r>
    </w:p>
    <w:p>
      <w:pPr>
        <w:pStyle w:val="Compact"/>
        <w:numPr>
          <w:numId w:val="1001"/>
          <w:ilvl w:val="0"/>
        </w:numPr>
      </w:pPr>
      <w:r>
        <w:t xml:space="preserve">Assisting in administering and maintenance of intellectual property documentation</w:t>
      </w:r>
    </w:p>
    <w:p>
      <w:pPr>
        <w:pStyle w:val="Compact"/>
        <w:numPr>
          <w:numId w:val="1001"/>
          <w:ilvl w:val="0"/>
        </w:numPr>
      </w:pPr>
      <w:r>
        <w:t xml:space="preserve">Developing promotional and profile-raising materials, including the CAPR website, informational flyers, posters, and executive summaries</w:t>
      </w:r>
    </w:p>
    <w:p>
      <w:pPr>
        <w:pStyle w:val="Compact"/>
        <w:numPr>
          <w:numId w:val="1001"/>
          <w:ilvl w:val="0"/>
        </w:numPr>
      </w:pPr>
      <w:r>
        <w:t xml:space="preserve">As part of the role, collaborating with the SRP and the Molecule Responsible Physician (MRP), the CPS assists in the preparation of protocol writing for and operational execution of clinical studies</w:t>
      </w:r>
    </w:p>
    <w:p>
      <w:pPr>
        <w:pStyle w:val="Compact"/>
        <w:numPr>
          <w:numId w:val="1001"/>
          <w:ilvl w:val="0"/>
        </w:numPr>
      </w:pPr>
      <w:r>
        <w:t xml:space="preserve">The CPS participates in the start-up of global clinical studies, ensuring on schedule site activation and subject enrollment, monitoring, compliance with department safety practices, policies, procedures the day to day management of a clinical trial</w:t>
      </w:r>
    </w:p>
    <w:p>
      <w:pPr>
        <w:pStyle w:val="Compact"/>
        <w:numPr>
          <w:numId w:val="1001"/>
          <w:ilvl w:val="0"/>
        </w:numPr>
      </w:pPr>
      <w:r>
        <w:t xml:space="preserve">Furthermore, the CPS will implement clinical study parameters, deliverables, policy compliance and resource needs, apply scientific discipline to minimize risk and increase performance, play a key role in the medical review of study data and timely and high-quality data entry and assist in coding, analysis and documentation of Company clinical work</w:t>
      </w:r>
    </w:p>
    <w:p>
      <w:pPr>
        <w:pStyle w:val="Heading2"/>
      </w:pPr>
      <w:bookmarkStart w:id="23" w:name="qualifications-for-project-scientist"/>
      <w:r>
        <w:t xml:space="preserve">Qualifications for project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computational techniques including, but not limited to, ray tracing to test underlying physical models of the diffraction</w:t>
      </w:r>
    </w:p>
    <w:p>
      <w:pPr>
        <w:pStyle w:val="Compact"/>
        <w:numPr>
          <w:numId w:val="1002"/>
          <w:ilvl w:val="0"/>
        </w:numPr>
      </w:pPr>
      <w:r>
        <w:t xml:space="preserve">Willing to work long days in the field (e.g., 10 hours), including weekends and holidays</w:t>
      </w:r>
    </w:p>
    <w:p>
      <w:pPr>
        <w:pStyle w:val="Compact"/>
        <w:numPr>
          <w:numId w:val="1002"/>
          <w:ilvl w:val="0"/>
        </w:numPr>
      </w:pPr>
      <w:r>
        <w:t xml:space="preserve">Bachelor’s degree in Environmental Science, Engineering, or relevant environmental discipline</w:t>
      </w:r>
    </w:p>
    <w:p>
      <w:pPr>
        <w:pStyle w:val="Compact"/>
        <w:numPr>
          <w:numId w:val="1002"/>
          <w:ilvl w:val="0"/>
        </w:numPr>
      </w:pPr>
      <w:r>
        <w:t xml:space="preserve">5+ years of environmental consulting/project management experience</w:t>
      </w:r>
    </w:p>
    <w:p>
      <w:pPr>
        <w:pStyle w:val="Compact"/>
        <w:numPr>
          <w:numId w:val="1002"/>
          <w:ilvl w:val="0"/>
        </w:numPr>
      </w:pPr>
      <w:r>
        <w:t xml:space="preserve">Proficiency in multi-media environmental regulatory compliance (e.g., CWA, RCRA, CERCLA, OPA, ) and its application</w:t>
      </w:r>
    </w:p>
    <w:p>
      <w:pPr>
        <w:pStyle w:val="Compact"/>
        <w:numPr>
          <w:numId w:val="1002"/>
          <w:ilvl w:val="0"/>
        </w:numPr>
      </w:pPr>
      <w:r>
        <w:t xml:space="preserve">Technical experience related to Due Diligence, Phase I and II site investigations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2021-10-28T13:25:56Z</dcterms:created>
  <dcterms:modified xsi:type="dcterms:W3CDTF">2021-10-28T13:25:56Z</dcterms:modified>
</cp:coreProperties>
</file>