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https://www.velvetjobs.com/job-descriptions/policy-associate</w:t>
        </w:r>
      </w:hyperlink>
    </w:p>
    <w:p>
      <w:pPr>
        <w:pStyle w:val="Heading1"/>
      </w:pPr>
      <w:bookmarkStart w:id="21" w:name="example-of-policy-associate-job-description"/>
      <w:r>
        <w:t xml:space="preserve">Example of Policy Associate Job Description</w:t>
      </w:r>
      <w:bookmarkEnd w:id="21"/>
    </w:p>
    <w:p>
      <w:pPr>
        <w:pStyle w:val="Compact"/>
      </w:pPr>
      <w:r>
        <w:t xml:space="preserve">Our innovative and growing company is looking for a policy associate. To join our growing team, please review the list of responsibilities and qualifications.</w:t>
      </w:r>
    </w:p>
    <w:p>
      <w:pPr>
        <w:pStyle w:val="Heading2"/>
      </w:pPr>
      <w:bookmarkStart w:id="22" w:name="responsibilities-for-policy-associate"/>
      <w:r>
        <w:t xml:space="preserve">Responsibilities for policy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internal governance processes related to regulatory submissions, including approvals by Legal Entity Board of Directors</w:t>
      </w:r>
    </w:p>
    <w:p>
      <w:pPr>
        <w:pStyle w:val="Compact"/>
        <w:numPr>
          <w:numId w:val="1001"/>
          <w:ilvl w:val="0"/>
        </w:numPr>
      </w:pPr>
      <w:r>
        <w:t xml:space="preserve">Maintaining a deep understanding on all existing and new / proposed funding and liquidity related regulations, including Basel, EBA and PRA applications of LCR, ALMM, and NSFR</w:t>
      </w:r>
    </w:p>
    <w:p>
      <w:pPr>
        <w:pStyle w:val="Compact"/>
        <w:numPr>
          <w:numId w:val="1001"/>
          <w:ilvl w:val="0"/>
        </w:numPr>
      </w:pPr>
      <w:r>
        <w:t xml:space="preserve">Engaging with jurisdictional regulatory agencies and supervisors in the interpretation, advocacy and application of regulatory rulings that impact funding and liquidity management framework and practices (including stress testing)</w:t>
      </w:r>
    </w:p>
    <w:p>
      <w:pPr>
        <w:pStyle w:val="Compact"/>
        <w:numPr>
          <w:numId w:val="1001"/>
          <w:ilvl w:val="0"/>
        </w:numPr>
      </w:pPr>
      <w:r>
        <w:t xml:space="preserve">Assessing and addressing the impact of regulatory changes on funding and liquidity management, including coordination and review of the Firm’s responses to consultation papers on policy related matters</w:t>
      </w:r>
    </w:p>
    <w:p>
      <w:pPr>
        <w:pStyle w:val="Compact"/>
        <w:numPr>
          <w:numId w:val="1001"/>
          <w:ilvl w:val="0"/>
        </w:numPr>
      </w:pPr>
      <w:r>
        <w:t xml:space="preserve">Preparation and review of the Firm’s Pillar 3 disclosures related to funding and liquidity</w:t>
      </w:r>
    </w:p>
    <w:p>
      <w:pPr>
        <w:pStyle w:val="Compact"/>
        <w:numPr>
          <w:numId w:val="1001"/>
          <w:ilvl w:val="0"/>
        </w:numPr>
      </w:pPr>
      <w:r>
        <w:t xml:space="preserve">Reviewing regulatory returns related to liquidity for accuracy of policy interpretations and related application</w:t>
      </w:r>
    </w:p>
    <w:p>
      <w:pPr>
        <w:pStyle w:val="Compact"/>
        <w:numPr>
          <w:numId w:val="1001"/>
          <w:ilvl w:val="0"/>
        </w:numPr>
      </w:pPr>
      <w:r>
        <w:t xml:space="preserve">As called upon, reviewing and approving new business initiatives to ensure the resultant funding and liquidity risk profile is acceptable and within the firm’s liquidity risk appetite tolerances</w:t>
      </w:r>
    </w:p>
    <w:p>
      <w:pPr>
        <w:pStyle w:val="Compact"/>
        <w:numPr>
          <w:numId w:val="1001"/>
          <w:ilvl w:val="0"/>
        </w:numPr>
      </w:pPr>
      <w:r>
        <w:t xml:space="preserve">Write, as needed, blogs, action alerts, policy backgrounders, and input for JCPA communication materials</w:t>
      </w:r>
    </w:p>
    <w:p>
      <w:pPr>
        <w:pStyle w:val="Compact"/>
        <w:numPr>
          <w:numId w:val="1001"/>
          <w:ilvl w:val="0"/>
        </w:numPr>
      </w:pPr>
      <w:r>
        <w:t xml:space="preserve">Support department management in their leadership and participation in Bank or System meetings, tasks forces, workgroups</w:t>
      </w:r>
    </w:p>
    <w:p>
      <w:pPr>
        <w:pStyle w:val="Compact"/>
        <w:numPr>
          <w:numId w:val="1001"/>
          <w:ilvl w:val="0"/>
        </w:numPr>
      </w:pPr>
      <w:r>
        <w:t xml:space="preserve">Serve as a point of contact for internal and external customers on questions</w:t>
      </w:r>
    </w:p>
    <w:p>
      <w:pPr>
        <w:pStyle w:val="Heading2"/>
      </w:pPr>
      <w:bookmarkStart w:id="23" w:name="qualifications-for-policy-associate"/>
      <w:r>
        <w:t xml:space="preserve">Qualifications for policy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a Master's degree in an appropriate field (Science, Pharmacy, Epidemiology, Health Economics, Public Health, or related) is required</w:t>
      </w:r>
    </w:p>
    <w:p>
      <w:pPr>
        <w:pStyle w:val="Compact"/>
        <w:numPr>
          <w:numId w:val="1002"/>
          <w:ilvl w:val="0"/>
        </w:numPr>
      </w:pPr>
      <w:r>
        <w:t xml:space="preserve">Degrees in medicine or pharmacy are preferred</w:t>
      </w:r>
    </w:p>
    <w:p>
      <w:pPr>
        <w:pStyle w:val="Compact"/>
        <w:numPr>
          <w:numId w:val="1002"/>
          <w:ilvl w:val="0"/>
        </w:numPr>
      </w:pPr>
      <w:r>
        <w:t xml:space="preserve">A minimum of 6 years of relevant industry work experience in Market Access or Health Economics and Outcomes Research is required</w:t>
      </w:r>
    </w:p>
    <w:p>
      <w:pPr>
        <w:pStyle w:val="Compact"/>
        <w:numPr>
          <w:numId w:val="1002"/>
          <w:ilvl w:val="0"/>
        </w:numPr>
      </w:pPr>
      <w:r>
        <w:t xml:space="preserve">Prior experience within Oncology is an asset</w:t>
      </w:r>
    </w:p>
    <w:p>
      <w:pPr>
        <w:pStyle w:val="Compact"/>
        <w:numPr>
          <w:numId w:val="1002"/>
          <w:ilvl w:val="0"/>
        </w:numPr>
      </w:pPr>
      <w:r>
        <w:t xml:space="preserve">Experience with the reimbursement environment for key international markets is an asset</w:t>
      </w:r>
    </w:p>
    <w:p>
      <w:pPr>
        <w:pStyle w:val="Compact"/>
        <w:numPr>
          <w:numId w:val="1002"/>
          <w:ilvl w:val="0"/>
        </w:numPr>
      </w:pPr>
      <w:r>
        <w:t xml:space="preserve">This position is based in Raritan, NJ or High Wycombe, UK and will require up to 20% domestic and international travel.Health Economics R&amp;D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licy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licy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2021-10-28T13:25:18Z</dcterms:created>
  <dcterms:modified xsi:type="dcterms:W3CDTF">2021-10-28T13:25:18Z</dcterms:modified>
</cp:coreProperties>
</file>