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https://www.velvetjobs.com/job-descriptions/math-teacher</w:t>
        </w:r>
      </w:hyperlink>
    </w:p>
    <w:p>
      <w:pPr>
        <w:pStyle w:val="Heading1"/>
      </w:pPr>
      <w:bookmarkStart w:id="21" w:name="example-of-math-teacher-job-description"/>
      <w:r>
        <w:t xml:space="preserve">Example of Math Teacher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math teacher. To join our growing team, please review the list of responsibilities and qualifications.</w:t>
      </w:r>
    </w:p>
    <w:p>
      <w:pPr>
        <w:pStyle w:val="Heading2"/>
      </w:pPr>
      <w:bookmarkStart w:id="22" w:name="responsibilities-for-math-teacher"/>
      <w:r>
        <w:t xml:space="preserve">Responsibilities for math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Have Bachelors Degree in Education</w:t>
      </w:r>
    </w:p>
    <w:p>
      <w:pPr>
        <w:pStyle w:val="Compact"/>
        <w:numPr>
          <w:numId w:val="1001"/>
          <w:ilvl w:val="0"/>
        </w:numPr>
      </w:pPr>
      <w:r>
        <w:t xml:space="preserve">Have Experience with adolescents ages 12 – 18</w:t>
      </w:r>
    </w:p>
    <w:p>
      <w:pPr>
        <w:pStyle w:val="Compact"/>
        <w:numPr>
          <w:numId w:val="1001"/>
          <w:ilvl w:val="0"/>
        </w:numPr>
      </w:pPr>
      <w:r>
        <w:t xml:space="preserve">Have the ability to remain flexible to accommodate changes in the work schedule</w:t>
      </w:r>
    </w:p>
    <w:p>
      <w:pPr>
        <w:pStyle w:val="Compact"/>
        <w:numPr>
          <w:numId w:val="1001"/>
          <w:ilvl w:val="0"/>
        </w:numPr>
      </w:pPr>
      <w:r>
        <w:t xml:space="preserve">Possess the ability to identify socially appropriate behaviors</w:t>
      </w:r>
    </w:p>
    <w:p>
      <w:pPr>
        <w:pStyle w:val="Compact"/>
        <w:numPr>
          <w:numId w:val="1001"/>
          <w:ilvl w:val="0"/>
        </w:numPr>
      </w:pPr>
      <w:r>
        <w:t xml:space="preserve">With supervisor, plan academic programming and scheduling (curriculum planning)</w:t>
      </w:r>
    </w:p>
    <w:p>
      <w:pPr>
        <w:pStyle w:val="Compact"/>
        <w:numPr>
          <w:numId w:val="1001"/>
          <w:ilvl w:val="0"/>
        </w:numPr>
      </w:pPr>
      <w:r>
        <w:t xml:space="preserve">Attends in-service, teacher meetings and staff meetings as requested by supervisor or required by the program</w:t>
      </w:r>
    </w:p>
    <w:p>
      <w:pPr>
        <w:pStyle w:val="Compact"/>
        <w:numPr>
          <w:numId w:val="1001"/>
          <w:ilvl w:val="0"/>
        </w:numPr>
      </w:pPr>
      <w:r>
        <w:t xml:space="preserve">Provides a consistent approach to students and an appropriate classroom atmosphere that is conducive to learning</w:t>
      </w:r>
    </w:p>
    <w:p>
      <w:pPr>
        <w:pStyle w:val="Compact"/>
        <w:numPr>
          <w:numId w:val="1001"/>
          <w:ilvl w:val="0"/>
        </w:numPr>
      </w:pPr>
      <w:r>
        <w:t xml:space="preserve">Adherence and participation in the safety program</w:t>
      </w:r>
    </w:p>
    <w:p>
      <w:pPr>
        <w:pStyle w:val="Compact"/>
        <w:numPr>
          <w:numId w:val="1001"/>
          <w:ilvl w:val="0"/>
        </w:numPr>
      </w:pPr>
      <w:r>
        <w:t xml:space="preserve">Adheres to Sequel TSI policy and practice concerning issues of creation, editing, transmission, storage and disposition of all Protected Health Information (PHI)</w:t>
      </w:r>
    </w:p>
    <w:p>
      <w:pPr>
        <w:pStyle w:val="Compact"/>
        <w:numPr>
          <w:numId w:val="1001"/>
          <w:ilvl w:val="0"/>
        </w:numPr>
      </w:pPr>
      <w:r>
        <w:t xml:space="preserve">Sign on bonus will be paid quarterly</w:t>
      </w:r>
    </w:p>
    <w:p>
      <w:pPr>
        <w:pStyle w:val="Heading2"/>
      </w:pPr>
      <w:bookmarkStart w:id="23" w:name="qualifications-for-math-teacher"/>
      <w:r>
        <w:t xml:space="preserve">Qualifications for math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working knowledge of district approved instructional materials for mathematics instruction and intervention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foundational mathematics assessments including FAIR, district mathematics Interim Benchmarks, and other national norm referenced mathematics assessments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second language acquisition and oral language development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tools and district applications used to access student data</w:t>
      </w:r>
    </w:p>
    <w:p>
      <w:pPr>
        <w:pStyle w:val="Compact"/>
        <w:numPr>
          <w:numId w:val="1002"/>
          <w:ilvl w:val="0"/>
        </w:numPr>
      </w:pPr>
      <w:r>
        <w:t xml:space="preserve">Thorough knowledge of the NGSS and CCSS Mathematics Foundational Standards</w:t>
      </w:r>
    </w:p>
    <w:p>
      <w:pPr>
        <w:pStyle w:val="Compact"/>
        <w:numPr>
          <w:numId w:val="1002"/>
          <w:ilvl w:val="0"/>
        </w:numPr>
      </w:pPr>
      <w:r>
        <w:t xml:space="preserve">Working knowledge of multiple literacy assessment tools and diagnostic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h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h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2021-10-28T18:32:38Z</dcterms:created>
  <dcterms:modified xsi:type="dcterms:W3CDTF">2021-10-28T18:32:38Z</dcterms:modified>
</cp:coreProperties>
</file>