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https://www.velvetjobs.com/job-descriptions/liquidity-risk-manager</w:t>
        </w:r>
      </w:hyperlink>
    </w:p>
    <w:p>
      <w:pPr>
        <w:pStyle w:val="Heading1"/>
      </w:pPr>
      <w:bookmarkStart w:id="21" w:name="example-of-liquidity-risk-manager-job-description"/>
      <w:r>
        <w:t xml:space="preserve">Example of Liquidity Risk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liquidity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quidity-risk-manager"/>
      <w:r>
        <w:t xml:space="preserve">Responsibilities for liquidity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Utilise industry best practices to quantify risk and aggregate exposures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complex systems and programs that measure aggregate risk exposures</w:t>
      </w:r>
    </w:p>
    <w:p>
      <w:pPr>
        <w:pStyle w:val="Compact"/>
        <w:numPr>
          <w:numId w:val="1001"/>
          <w:ilvl w:val="0"/>
        </w:numPr>
      </w:pPr>
      <w:r>
        <w:t xml:space="preserve">Other regulatory remediation as agreed and assigned</w:t>
      </w:r>
    </w:p>
    <w:p>
      <w:pPr>
        <w:pStyle w:val="Compact"/>
        <w:numPr>
          <w:numId w:val="1001"/>
          <w:ilvl w:val="0"/>
        </w:numPr>
      </w:pPr>
      <w:r>
        <w:t xml:space="preserve">Understanding regulations and translating these into technical guidance tailored for client specific situations (examples include Basel, CRR and CRD, FRTB)</w:t>
      </w:r>
    </w:p>
    <w:p>
      <w:pPr>
        <w:pStyle w:val="Compact"/>
        <w:numPr>
          <w:numId w:val="1001"/>
          <w:ilvl w:val="0"/>
        </w:numPr>
      </w:pPr>
      <w:r>
        <w:t xml:space="preserve">Performing current state versus target state gap assessments</w:t>
      </w:r>
    </w:p>
    <w:p>
      <w:pPr>
        <w:pStyle w:val="Compact"/>
        <w:numPr>
          <w:numId w:val="1001"/>
          <w:ilvl w:val="0"/>
        </w:numPr>
      </w:pPr>
      <w:r>
        <w:t xml:space="preserve">Designing, executing and embedding fit for purpose solutions to meet regulatory requirements</w:t>
      </w:r>
    </w:p>
    <w:p>
      <w:pPr>
        <w:pStyle w:val="Compact"/>
        <w:numPr>
          <w:numId w:val="1001"/>
          <w:ilvl w:val="0"/>
        </w:numPr>
      </w:pPr>
      <w:r>
        <w:t xml:space="preserve">Supporting sales activities and marketing initiatives</w:t>
      </w:r>
    </w:p>
    <w:p>
      <w:pPr>
        <w:pStyle w:val="Compact"/>
        <w:numPr>
          <w:numId w:val="1001"/>
          <w:ilvl w:val="0"/>
        </w:numPr>
      </w:pPr>
      <w:r>
        <w:t xml:space="preserve">Undertaking learning and development activities to ensure your own professional development</w:t>
      </w:r>
    </w:p>
    <w:p>
      <w:pPr>
        <w:pStyle w:val="Compact"/>
        <w:numPr>
          <w:numId w:val="1001"/>
          <w:ilvl w:val="0"/>
        </w:numPr>
      </w:pPr>
      <w:r>
        <w:t xml:space="preserve">Previous experience in a multi-national Treasury function</w:t>
      </w:r>
    </w:p>
    <w:p>
      <w:pPr>
        <w:pStyle w:val="Compact"/>
        <w:numPr>
          <w:numId w:val="1001"/>
          <w:ilvl w:val="0"/>
        </w:numPr>
      </w:pPr>
      <w:r>
        <w:t xml:space="preserve">Support the review, preparation, submission, and disclosures relating to regulatory market &amp; liquidity standards, Interest Rate Risk in the Banking Book, Liquidity Coverage Ratio and Net Stable Funding Ratio</w:t>
      </w:r>
    </w:p>
    <w:p>
      <w:pPr>
        <w:pStyle w:val="Heading2"/>
      </w:pPr>
      <w:bookmarkStart w:id="23" w:name="qualifications-for-liquidity-risk-manager"/>
      <w:r>
        <w:t xml:space="preserve">Qualifications for liquidity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qualification would be an asset</w:t>
      </w:r>
    </w:p>
    <w:p>
      <w:pPr>
        <w:pStyle w:val="Compact"/>
        <w:numPr>
          <w:numId w:val="1002"/>
          <w:ilvl w:val="0"/>
        </w:numPr>
      </w:pPr>
      <w:r>
        <w:t xml:space="preserve">5+ years of experience in asset and liability management, interest rate risk, treasury functions, finance, or risk management</w:t>
      </w:r>
    </w:p>
    <w:p>
      <w:pPr>
        <w:pStyle w:val="Compact"/>
        <w:numPr>
          <w:numId w:val="1002"/>
          <w:ilvl w:val="0"/>
        </w:numPr>
      </w:pPr>
      <w:r>
        <w:t xml:space="preserve">Strong technical skills (particularly in MS Excel)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economics, statistics, mathematics, or other quantitative area</w:t>
      </w:r>
    </w:p>
    <w:p>
      <w:pPr>
        <w:pStyle w:val="Compact"/>
        <w:numPr>
          <w:numId w:val="1002"/>
          <w:ilvl w:val="0"/>
        </w:numPr>
      </w:pPr>
      <w:r>
        <w:t xml:space="preserve">Advanced university degree in Finance or a related discipline, is required</w:t>
      </w:r>
    </w:p>
    <w:p>
      <w:pPr>
        <w:pStyle w:val="Compact"/>
        <w:numPr>
          <w:numId w:val="1002"/>
          <w:ilvl w:val="0"/>
        </w:numPr>
      </w:pPr>
      <w:r>
        <w:t xml:space="preserve">An MBA or CFA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2021-10-28T18:32:14Z</dcterms:created>
  <dcterms:modified xsi:type="dcterms:W3CDTF">2021-10-28T18:32:14Z</dcterms:modified>
</cp:coreProperties>
</file>