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https://www.velvetjobs.com/job-descriptions/investment-professional</w:t>
        </w:r>
      </w:hyperlink>
    </w:p>
    <w:p>
      <w:pPr>
        <w:pStyle w:val="Heading1"/>
      </w:pPr>
      <w:bookmarkStart w:id="21" w:name="example-of-investment-professional-job-description"/>
      <w:r>
        <w:t xml:space="preserve">Example of Investment Professional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investment professional. If you are looking for an exciting place to work, please take a look at the list of qualifications below.</w:t>
      </w:r>
    </w:p>
    <w:p>
      <w:pPr>
        <w:pStyle w:val="Heading2"/>
      </w:pPr>
      <w:bookmarkStart w:id="22" w:name="responsibilities-for-investment-professional"/>
      <w:r>
        <w:t xml:space="preserve">Responsibilities for investment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Regular communication with key stakeholders across the various functions and teams – in particular legal entity CFOs and finance teams, strategic asset allocation, portfolio management, investment operations and reporting, risk management, accounting, legal, tax, compliance and rating agency teams</w:t>
      </w:r>
    </w:p>
    <w:p>
      <w:pPr>
        <w:pStyle w:val="Compact"/>
        <w:numPr>
          <w:numId w:val="1001"/>
          <w:ilvl w:val="0"/>
        </w:numPr>
      </w:pPr>
      <w:r>
        <w:t xml:space="preserve">Lead and participate in various projects within the Investment team and across the group</w:t>
      </w:r>
    </w:p>
    <w:p>
      <w:pPr>
        <w:pStyle w:val="Compact"/>
        <w:numPr>
          <w:numId w:val="1001"/>
          <w:ilvl w:val="0"/>
        </w:numPr>
      </w:pPr>
      <w:r>
        <w:t xml:space="preserve">Daily responsibilities involve ownership of issuance/economic affirmation/chasing process of product specific paper confirmations reflective of risk management systems within market and regulatory timelines</w:t>
      </w:r>
    </w:p>
    <w:p>
      <w:pPr>
        <w:pStyle w:val="Compact"/>
        <w:numPr>
          <w:numId w:val="1001"/>
          <w:ilvl w:val="0"/>
        </w:numPr>
      </w:pPr>
      <w:r>
        <w:t xml:space="preserve">Ensure timely support of trades and swift resolution of client issues in a professional and client-centric manner</w:t>
      </w:r>
    </w:p>
    <w:p>
      <w:pPr>
        <w:pStyle w:val="Compact"/>
        <w:numPr>
          <w:numId w:val="1001"/>
          <w:ilvl w:val="0"/>
        </w:numPr>
      </w:pPr>
      <w:r>
        <w:t xml:space="preserve">Support of due diligence for an investment through benchmarking analysis, historical performance evaluation</w:t>
      </w:r>
    </w:p>
    <w:p>
      <w:pPr>
        <w:pStyle w:val="Compact"/>
        <w:numPr>
          <w:numId w:val="1001"/>
          <w:ilvl w:val="0"/>
        </w:numPr>
      </w:pPr>
      <w:r>
        <w:t xml:space="preserve">Support annual strategic process for PE team- market overview, update on current allocation to the asset class and performance by strategy, macro trends and implications for annual commitments and pacing</w:t>
      </w:r>
    </w:p>
    <w:p>
      <w:pPr>
        <w:pStyle w:val="Compact"/>
        <w:numPr>
          <w:numId w:val="1001"/>
          <w:ilvl w:val="0"/>
        </w:numPr>
      </w:pPr>
      <w:r>
        <w:t xml:space="preserve">Collaboration with other Asset Management departments on standard methodology sharing, tool development</w:t>
      </w:r>
    </w:p>
    <w:p>
      <w:pPr>
        <w:pStyle w:val="Compact"/>
        <w:numPr>
          <w:numId w:val="1001"/>
          <w:ilvl w:val="0"/>
        </w:numPr>
      </w:pPr>
      <w:r>
        <w:t xml:space="preserve">Collaboration with 3rd Party asset managers on assessing drivers of performance for specific investments, changes in value and rationale for those chances</w:t>
      </w:r>
    </w:p>
    <w:p>
      <w:pPr>
        <w:pStyle w:val="Compact"/>
        <w:numPr>
          <w:numId w:val="1001"/>
          <w:ilvl w:val="0"/>
        </w:numPr>
      </w:pPr>
      <w:r>
        <w:t xml:space="preserve">Financial analysis, including pro forma earnings accretion/dilution, sum-of-the-parts, comparable company analysis, leveraged buyout models, intrinsic valuation (including DCF), other financial analyses to assess impact from merger, acquisition, divestiture</w:t>
      </w:r>
    </w:p>
    <w:p>
      <w:pPr>
        <w:pStyle w:val="Compact"/>
        <w:numPr>
          <w:numId w:val="1001"/>
          <w:ilvl w:val="0"/>
        </w:numPr>
      </w:pPr>
      <w:r>
        <w:t xml:space="preserve">Maintain analytical databases and market materials</w:t>
      </w:r>
    </w:p>
    <w:p>
      <w:pPr>
        <w:pStyle w:val="Heading2"/>
      </w:pPr>
      <w:bookmarkStart w:id="23" w:name="qualifications-for-investment-professional"/>
      <w:r>
        <w:t xml:space="preserve">Qualifications for investment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Drives execution - quickly removes roadblocks</w:t>
      </w:r>
    </w:p>
    <w:p>
      <w:pPr>
        <w:pStyle w:val="Compact"/>
        <w:numPr>
          <w:numId w:val="1002"/>
          <w:ilvl w:val="0"/>
        </w:numPr>
      </w:pPr>
      <w:r>
        <w:t xml:space="preserve">College degree required Series 7 &amp; 63 registration required</w:t>
      </w:r>
    </w:p>
    <w:p>
      <w:pPr>
        <w:pStyle w:val="Compact"/>
        <w:numPr>
          <w:numId w:val="1002"/>
          <w:ilvl w:val="0"/>
        </w:numPr>
      </w:pPr>
      <w:r>
        <w:t xml:space="preserve">IAD exams to enable FCA registration strongly preferred</w:t>
      </w:r>
    </w:p>
    <w:p>
      <w:pPr>
        <w:pStyle w:val="Compact"/>
        <w:numPr>
          <w:numId w:val="1002"/>
          <w:ilvl w:val="0"/>
        </w:numPr>
      </w:pPr>
      <w:r>
        <w:t xml:space="preserve">At least 5 years experience in Finance/Pricing</w:t>
      </w:r>
    </w:p>
    <w:p>
      <w:pPr>
        <w:pStyle w:val="Compact"/>
        <w:numPr>
          <w:numId w:val="1002"/>
          <w:ilvl w:val="0"/>
        </w:numPr>
      </w:pPr>
      <w:r>
        <w:t xml:space="preserve">Bachelor/Master in Finance and/or Accounting</w:t>
      </w:r>
    </w:p>
    <w:p>
      <w:pPr>
        <w:pStyle w:val="Compact"/>
        <w:numPr>
          <w:numId w:val="1002"/>
          <w:ilvl w:val="0"/>
        </w:numPr>
      </w:pPr>
      <w:r>
        <w:t xml:space="preserve">Pricing experience from International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2021-10-28T13:31:03Z</dcterms:created>
  <dcterms:modified xsi:type="dcterms:W3CDTF">2021-10-28T13:31:03Z</dcterms:modified>
</cp:coreProperties>
</file>