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https://www.velvetjobs.com/job-descriptions/international-tax</w:t>
        </w:r>
      </w:hyperlink>
    </w:p>
    <w:p>
      <w:pPr>
        <w:pStyle w:val="Heading1"/>
      </w:pPr>
      <w:bookmarkStart w:id="21" w:name="example-of-international-tax-job-description"/>
      <w:r>
        <w:t xml:space="preserve">Example of International Tax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international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tax"/>
      <w:r>
        <w:t xml:space="preserve">Responsibilities for international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between external service providers and tax technology team to ensure accurate reporting, testing &amp; communication between the groups</w:t>
      </w:r>
    </w:p>
    <w:p>
      <w:pPr>
        <w:pStyle w:val="Compact"/>
        <w:numPr>
          <w:numId w:val="1001"/>
          <w:ilvl w:val="0"/>
        </w:numPr>
      </w:pPr>
      <w:r>
        <w:t xml:space="preserve">Manage compliance related issues and tax planning analysis for foreign subsidiaries and their hybrid subsidiaries in various jurisdictions</w:t>
      </w:r>
    </w:p>
    <w:p>
      <w:pPr>
        <w:pStyle w:val="Compact"/>
        <w:numPr>
          <w:numId w:val="1001"/>
          <w:ilvl w:val="0"/>
        </w:numPr>
      </w:pPr>
      <w:r>
        <w:t xml:space="preserve">Manage the Current and Deferred tax provision process on CTA of foreign consolidated subsidiaries</w:t>
      </w:r>
    </w:p>
    <w:p>
      <w:pPr>
        <w:pStyle w:val="Compact"/>
        <w:numPr>
          <w:numId w:val="1001"/>
          <w:ilvl w:val="0"/>
        </w:numPr>
      </w:pPr>
      <w:r>
        <w:t xml:space="preserve">Report tax on hedge gains and losses on CTA</w:t>
      </w:r>
    </w:p>
    <w:p>
      <w:pPr>
        <w:pStyle w:val="Compact"/>
        <w:numPr>
          <w:numId w:val="1001"/>
          <w:ilvl w:val="0"/>
        </w:numPr>
      </w:pPr>
      <w:r>
        <w:t xml:space="preserve">Assist in the analysis of tax</w:t>
      </w:r>
    </w:p>
    <w:p>
      <w:pPr>
        <w:pStyle w:val="Compact"/>
        <w:numPr>
          <w:numId w:val="1001"/>
          <w:ilvl w:val="0"/>
        </w:numPr>
      </w:pPr>
      <w:r>
        <w:t xml:space="preserve">Assist Domestic and International Tax compliance teams on the computation and review of certain taxable gains and losses for tax return purposes</w:t>
      </w:r>
    </w:p>
    <w:p>
      <w:pPr>
        <w:pStyle w:val="Compact"/>
        <w:numPr>
          <w:numId w:val="1001"/>
          <w:ilvl w:val="0"/>
        </w:numPr>
      </w:pPr>
      <w:r>
        <w:t xml:space="preserve">Assist with IRS audit information requests</w:t>
      </w:r>
    </w:p>
    <w:p>
      <w:pPr>
        <w:pStyle w:val="Compact"/>
        <w:numPr>
          <w:numId w:val="1001"/>
          <w:ilvl w:val="0"/>
        </w:numPr>
      </w:pPr>
      <w:r>
        <w:t xml:space="preserve">Monitor and validate legal entity population and analyze tax on CTA implications for entity re-structurings</w:t>
      </w:r>
    </w:p>
    <w:p>
      <w:pPr>
        <w:pStyle w:val="Compact"/>
        <w:numPr>
          <w:numId w:val="1001"/>
          <w:ilvl w:val="0"/>
        </w:numPr>
      </w:pPr>
      <w:r>
        <w:t xml:space="preserve">Assist in the quarterly and year-end review of tax on CTA disclosures for Other Comprehensive Income</w:t>
      </w:r>
    </w:p>
    <w:p>
      <w:pPr>
        <w:pStyle w:val="Compact"/>
        <w:numPr>
          <w:numId w:val="1001"/>
          <w:ilvl w:val="0"/>
        </w:numPr>
      </w:pPr>
      <w:r>
        <w:t xml:space="preserve">Liaise between external service providers and tax technology team to ensure accurate reporting, testing and communication between the groups</w:t>
      </w:r>
    </w:p>
    <w:p>
      <w:pPr>
        <w:pStyle w:val="Heading2"/>
      </w:pPr>
      <w:bookmarkStart w:id="23" w:name="qualifications-for-international-tax"/>
      <w:r>
        <w:t xml:space="preserve">Qualifications for international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International tax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Online tax research skills preferred</w:t>
      </w:r>
    </w:p>
    <w:p>
      <w:pPr>
        <w:pStyle w:val="Compact"/>
        <w:numPr>
          <w:numId w:val="1002"/>
          <w:ilvl w:val="0"/>
        </w:numPr>
      </w:pPr>
      <w:r>
        <w:t xml:space="preserve">Must have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Prepare foreign income tax returns, extensions, estimated tax payments, and supporting workpapers</w:t>
      </w:r>
    </w:p>
    <w:p>
      <w:pPr>
        <w:pStyle w:val="Compact"/>
        <w:numPr>
          <w:numId w:val="1002"/>
          <w:ilvl w:val="0"/>
        </w:numPr>
      </w:pPr>
      <w:r>
        <w:t xml:space="preserve">Analyze and reconcile foreign sales tax/VAT &amp; non-US income tax accounts on a monthly basis</w:t>
      </w:r>
    </w:p>
    <w:p>
      <w:pPr>
        <w:pStyle w:val="Compact"/>
        <w:numPr>
          <w:numId w:val="1002"/>
          <w:ilvl w:val="0"/>
        </w:numPr>
      </w:pPr>
      <w:r>
        <w:t xml:space="preserve">Prepare monthly, quarterly, and annual foreign sales tax/VAT returns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