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https://www.velvetjobs.com/job-descriptions/health-education</w:t>
        </w:r>
      </w:hyperlink>
    </w:p>
    <w:p>
      <w:pPr>
        <w:pStyle w:val="Heading1"/>
      </w:pPr>
      <w:bookmarkStart w:id="21" w:name="example-of-health-education-job-description"/>
      <w:r>
        <w:t xml:space="preserve">Example of Health Education Job Description</w:t>
      </w:r>
      <w:bookmarkEnd w:id="21"/>
    </w:p>
    <w:p>
      <w:pPr>
        <w:pStyle w:val="Compact"/>
      </w:pPr>
      <w:r>
        <w:t xml:space="preserve">Our company is hiring for a health education.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ealth-education"/>
      <w:r>
        <w:t xml:space="preserve">Responsibilities for health education</w:t>
      </w:r>
      <w:bookmarkEnd w:id="22"/>
    </w:p>
    <w:p>
      <w:pPr>
        <w:pStyle w:val="Compact"/>
        <w:numPr>
          <w:numId w:val="1001"/>
          <w:ilvl w:val="0"/>
        </w:numPr>
      </w:pPr>
      <w:r>
        <w:t xml:space="preserve">Ensure Home Health Clinicians are well oriented and competent in their role and in meeting various quality initiatives</w:t>
      </w:r>
    </w:p>
    <w:p>
      <w:pPr>
        <w:pStyle w:val="Compact"/>
        <w:numPr>
          <w:numId w:val="1001"/>
          <w:ilvl w:val="0"/>
        </w:numPr>
      </w:pPr>
      <w:r>
        <w:t xml:space="preserve">Be accomplished through the oversight of clinical and computer training of all Home Health Clinicians at the time of hire and on an ongoing basis</w:t>
      </w:r>
    </w:p>
    <w:p>
      <w:pPr>
        <w:pStyle w:val="Compact"/>
        <w:numPr>
          <w:numId w:val="1001"/>
          <w:ilvl w:val="0"/>
        </w:numPr>
      </w:pPr>
      <w:r>
        <w:t xml:space="preserve">Have work that includes curriculum development, coordination with Quality initiatives, precepting and observation</w:t>
      </w:r>
    </w:p>
    <w:p>
      <w:pPr>
        <w:pStyle w:val="Compact"/>
        <w:numPr>
          <w:numId w:val="1001"/>
          <w:ilvl w:val="0"/>
        </w:numPr>
      </w:pPr>
      <w:r>
        <w:t xml:space="preserve">Create opportunities for global health education in clinical medicine and research experiences abroad both at partner institutions and elsewhere</w:t>
      </w:r>
    </w:p>
    <w:p>
      <w:pPr>
        <w:pStyle w:val="Compact"/>
        <w:numPr>
          <w:numId w:val="1001"/>
          <w:ilvl w:val="0"/>
        </w:numPr>
      </w:pPr>
      <w:r>
        <w:t xml:space="preserve">Meet and advisestudent advisors to guide interested FSM students and McGaw residents and fellows towards global health education programs in line with each student’s particular career aspirations</w:t>
      </w:r>
    </w:p>
    <w:p>
      <w:pPr>
        <w:pStyle w:val="Compact"/>
        <w:numPr>
          <w:numId w:val="1001"/>
          <w:ilvl w:val="0"/>
        </w:numPr>
      </w:pPr>
      <w:r>
        <w:t xml:space="preserve">Partner with the Vice Dean for Education and Director of the Center for Global Health to review the development of current initiatives, partnerships and opportunities, recommend changes in policies and procedures, and prepare reports as needed</w:t>
      </w:r>
    </w:p>
    <w:p>
      <w:pPr>
        <w:pStyle w:val="Compact"/>
        <w:numPr>
          <w:numId w:val="1001"/>
          <w:ilvl w:val="0"/>
        </w:numPr>
      </w:pPr>
      <w:r>
        <w:t xml:space="preserve">Manage financial operations, research administration, human resources, policies, annual reporting, and space planning for Center</w:t>
      </w:r>
    </w:p>
    <w:p>
      <w:pPr>
        <w:pStyle w:val="Compact"/>
        <w:numPr>
          <w:numId w:val="1001"/>
          <w:ilvl w:val="0"/>
        </w:numPr>
      </w:pPr>
      <w:r>
        <w:t xml:space="preserve">Coordinate with IPHAM, OSR, ASRSP, and other central financial services offices to ensure policies are in place to support and facilitate international research collaborations</w:t>
      </w:r>
    </w:p>
    <w:p>
      <w:pPr>
        <w:pStyle w:val="Compact"/>
        <w:numPr>
          <w:numId w:val="1001"/>
          <w:ilvl w:val="0"/>
        </w:numPr>
      </w:pPr>
      <w:r>
        <w:t xml:space="preserve">Monitor benchmarked goals and draft annual progress reports in collaboration with principal investigators reports on multi-year, federally sponsored research programs</w:t>
      </w:r>
    </w:p>
    <w:p>
      <w:pPr>
        <w:pStyle w:val="Compact"/>
        <w:numPr>
          <w:numId w:val="1001"/>
          <w:ilvl w:val="0"/>
        </w:numPr>
      </w:pPr>
      <w:r>
        <w:t xml:space="preserve">Deliver short, mid, and long-term research training programs sponsored by NIH primarily in low-income settings</w:t>
      </w:r>
    </w:p>
    <w:p>
      <w:pPr>
        <w:pStyle w:val="Heading2"/>
      </w:pPr>
      <w:bookmarkStart w:id="23" w:name="qualifications-for-health-education"/>
      <w:r>
        <w:t xml:space="preserve">Qualifications for health education</w:t>
      </w:r>
      <w:bookmarkEnd w:id="23"/>
    </w:p>
    <w:p>
      <w:pPr>
        <w:pStyle w:val="Compact"/>
        <w:numPr>
          <w:numId w:val="1002"/>
          <w:ilvl w:val="0"/>
        </w:numPr>
      </w:pPr>
      <w:r>
        <w:t xml:space="preserve">Creating a student-centered learning environment</w:t>
      </w:r>
    </w:p>
    <w:p>
      <w:pPr>
        <w:pStyle w:val="Compact"/>
        <w:numPr>
          <w:numId w:val="1002"/>
          <w:ilvl w:val="0"/>
        </w:numPr>
      </w:pPr>
      <w:r>
        <w:t xml:space="preserve">Master and/or professional degree in nutrition, health education/promotion, public health, pharmacy, nursing, or related field preferred</w:t>
      </w:r>
    </w:p>
    <w:p>
      <w:pPr>
        <w:pStyle w:val="Compact"/>
        <w:numPr>
          <w:numId w:val="1002"/>
          <w:ilvl w:val="0"/>
        </w:numPr>
      </w:pPr>
      <w:r>
        <w:t xml:space="preserve">Master's degree in public health, social work, or a closely related field</w:t>
      </w:r>
    </w:p>
    <w:p>
      <w:pPr>
        <w:pStyle w:val="Compact"/>
        <w:numPr>
          <w:numId w:val="1002"/>
          <w:ilvl w:val="0"/>
        </w:numPr>
      </w:pPr>
      <w:r>
        <w:t xml:space="preserve">Knowledge/experience in health promotion, prevention, social change models/principles, mental health, crisis, threat assessment</w:t>
      </w:r>
    </w:p>
    <w:p>
      <w:pPr>
        <w:pStyle w:val="Compact"/>
        <w:numPr>
          <w:numId w:val="1002"/>
          <w:ilvl w:val="0"/>
        </w:numPr>
      </w:pPr>
      <w:r>
        <w:t xml:space="preserve">Ability to develop and implement assessment strategies and reports</w:t>
      </w:r>
    </w:p>
    <w:p>
      <w:pPr>
        <w:pStyle w:val="Compact"/>
        <w:numPr>
          <w:numId w:val="1002"/>
          <w:ilvl w:val="0"/>
        </w:numPr>
      </w:pPr>
      <w:r>
        <w:t xml:space="preserve">Two – Four years of experience in education or a closely related setting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educ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edu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2021-10-28T18:36:49Z</dcterms:created>
  <dcterms:modified xsi:type="dcterms:W3CDTF">2021-10-28T18:36:49Z</dcterms:modified>
</cp:coreProperties>
</file>