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https://www.velvetjobs.com/job-descriptions/funding-controller</w:t>
        </w:r>
      </w:hyperlink>
    </w:p>
    <w:p>
      <w:pPr>
        <w:pStyle w:val="Heading1"/>
      </w:pPr>
      <w:bookmarkStart w:id="21" w:name="example-of-funding-controller-job-description"/>
      <w:r>
        <w:t xml:space="preserve">Example of Funding Controller Job Description</w:t>
      </w:r>
      <w:bookmarkEnd w:id="21"/>
    </w:p>
    <w:p>
      <w:pPr>
        <w:pStyle w:val="Compact"/>
      </w:pPr>
      <w:r>
        <w:t xml:space="preserve">Our innovative and growing company is looking to fill the role of funding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ing-controller"/>
      <w:r>
        <w:t xml:space="preserve">Responsibilities for funding controller</w:t>
      </w:r>
      <w:bookmarkEnd w:id="22"/>
    </w:p>
    <w:p>
      <w:pPr>
        <w:pStyle w:val="Compact"/>
        <w:numPr>
          <w:numId w:val="1001"/>
          <w:ilvl w:val="0"/>
        </w:numPr>
      </w:pPr>
      <w:r>
        <w:t xml:space="preserve">Assist in the production of quarterly disclosures for 10Q/K and Fed reporting</w:t>
      </w:r>
    </w:p>
    <w:p>
      <w:pPr>
        <w:pStyle w:val="Compact"/>
        <w:numPr>
          <w:numId w:val="1001"/>
          <w:ilvl w:val="0"/>
        </w:numPr>
      </w:pPr>
      <w:r>
        <w:t xml:space="preserve">Collaboration across a number of FCG groups including Global Product Controllers, Accounting Policy, Regulatory Reporting, and SEC Reporting*LI-ND1</w:t>
      </w:r>
    </w:p>
    <w:p>
      <w:pPr>
        <w:pStyle w:val="Compact"/>
        <w:numPr>
          <w:numId w:val="1001"/>
          <w:ilvl w:val="0"/>
        </w:numPr>
      </w:pPr>
      <w:r>
        <w:t xml:space="preserve">Developing strong working relationships with Corporate Treasury, Operations, IT, Bank Resource Management, and other teams across the Firm</w:t>
      </w:r>
    </w:p>
    <w:p>
      <w:pPr>
        <w:pStyle w:val="Compact"/>
        <w:numPr>
          <w:numId w:val="1001"/>
          <w:ilvl w:val="0"/>
        </w:numPr>
      </w:pPr>
      <w:r>
        <w:t xml:space="preserve">Maintaining a strong knowledge in the regulatory environment pertaining to the Federal Reserve, Basel and the FSA</w:t>
      </w:r>
    </w:p>
    <w:p>
      <w:pPr>
        <w:pStyle w:val="Compact"/>
        <w:numPr>
          <w:numId w:val="1001"/>
          <w:ilvl w:val="0"/>
        </w:numPr>
      </w:pPr>
      <w:r>
        <w:t xml:space="preserve">Oversight and final review of the daily/weekly regulatory liquidity metrics monitored by Corporate Treasury Net Stable Funding Ratio and Contingent Funding Plan</w:t>
      </w:r>
    </w:p>
    <w:p>
      <w:pPr>
        <w:pStyle w:val="Compact"/>
        <w:numPr>
          <w:numId w:val="1001"/>
          <w:ilvl w:val="0"/>
        </w:numPr>
      </w:pPr>
      <w:r>
        <w:t xml:space="preserve">Oversight and signoff of the Liquidity disclosures included in the firm?s quarterly and annual filings</w:t>
      </w:r>
    </w:p>
    <w:p>
      <w:pPr>
        <w:pStyle w:val="Compact"/>
        <w:numPr>
          <w:numId w:val="1001"/>
          <w:ilvl w:val="0"/>
        </w:numPr>
      </w:pPr>
      <w:r>
        <w:t xml:space="preserve">Develop a strong understanding of business strategy driving liquidity movements, ensure supporting commentary is in line with expectations</w:t>
      </w:r>
    </w:p>
    <w:p>
      <w:pPr>
        <w:pStyle w:val="Compact"/>
        <w:numPr>
          <w:numId w:val="1001"/>
          <w:ilvl w:val="0"/>
        </w:numPr>
      </w:pPr>
      <w:r>
        <w:t xml:space="preserve">Point of escalation for issues arising with the reporting</w:t>
      </w:r>
    </w:p>
    <w:p>
      <w:pPr>
        <w:pStyle w:val="Compact"/>
        <w:numPr>
          <w:numId w:val="1001"/>
          <w:ilvl w:val="0"/>
        </w:numPr>
      </w:pPr>
      <w:r>
        <w:t xml:space="preserve">Ensure a robust control environment is in place to minimise errors in the external and management liquidity reporting</w:t>
      </w:r>
    </w:p>
    <w:p>
      <w:pPr>
        <w:pStyle w:val="Compact"/>
        <w:numPr>
          <w:numId w:val="1001"/>
          <w:ilvl w:val="0"/>
        </w:numPr>
      </w:pPr>
      <w:r>
        <w:t xml:space="preserve">Work closely with Corporate Treasury to interpret and implement changes to the regulatory reporting rules</w:t>
      </w:r>
    </w:p>
    <w:p>
      <w:pPr>
        <w:pStyle w:val="Heading2"/>
      </w:pPr>
      <w:bookmarkStart w:id="23" w:name="qualifications-for-funding-controller"/>
      <w:r>
        <w:t xml:space="preserve">Qualifications for funding controller</w:t>
      </w:r>
      <w:bookmarkEnd w:id="23"/>
    </w:p>
    <w:p>
      <w:pPr>
        <w:pStyle w:val="Compact"/>
        <w:numPr>
          <w:numId w:val="1002"/>
          <w:ilvl w:val="0"/>
        </w:numPr>
      </w:pPr>
      <w:r>
        <w:t xml:space="preserve">Design and implementation of enhancements to the Firm’s Secured Funding attribution model</w:t>
      </w:r>
    </w:p>
    <w:p>
      <w:pPr>
        <w:pStyle w:val="Compact"/>
        <w:numPr>
          <w:numId w:val="1002"/>
          <w:ilvl w:val="0"/>
        </w:numPr>
      </w:pPr>
      <w:r>
        <w:t xml:space="preserve">Strong knowledge in the regulatory environment pertaining to the Federal Reserve, Basel and the FSA</w:t>
      </w:r>
    </w:p>
    <w:p>
      <w:pPr>
        <w:pStyle w:val="Compact"/>
        <w:numPr>
          <w:numId w:val="1002"/>
          <w:ilvl w:val="0"/>
        </w:numPr>
      </w:pPr>
      <w:r>
        <w:t xml:space="preserve">The successful candidate will ideally hold an accounting qualification/Management Degree from a recognized Accountancy body</w:t>
      </w:r>
    </w:p>
    <w:p>
      <w:pPr>
        <w:pStyle w:val="Compact"/>
        <w:numPr>
          <w:numId w:val="1002"/>
          <w:ilvl w:val="0"/>
        </w:numPr>
      </w:pPr>
      <w:r>
        <w:t xml:space="preserve">Ability to handle and resolve recurring challenges and problems.*LI-ND1</w:t>
      </w:r>
    </w:p>
    <w:p>
      <w:pPr>
        <w:pStyle w:val="Compact"/>
        <w:numPr>
          <w:numId w:val="1002"/>
          <w:ilvl w:val="0"/>
        </w:numPr>
      </w:pPr>
      <w:r>
        <w:t xml:space="preserve">2-5 years of experience in liquidity risk control, liquidity risk management or liquidity planning</w:t>
      </w:r>
    </w:p>
    <w:p>
      <w:pPr>
        <w:pStyle w:val="Compact"/>
        <w:numPr>
          <w:numId w:val="1002"/>
          <w:ilvl w:val="0"/>
        </w:numPr>
      </w:pPr>
      <w:r>
        <w:t xml:space="preserve">Partner with Treasury Technology to prioritize and implement enhancements to the reporting improving data quality, adjustment reduction and regulatory 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ing-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ing-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2021-10-28T13:06:29Z</dcterms:created>
  <dcterms:modified xsi:type="dcterms:W3CDTF">2021-10-28T13:06:29Z</dcterms:modified>
</cp:coreProperties>
</file>