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https://www.velvetjobs.com/job-descriptions/counterparty-credit-risk</w:t>
        </w:r>
      </w:hyperlink>
    </w:p>
    <w:p>
      <w:pPr>
        <w:pStyle w:val="Heading1"/>
      </w:pPr>
      <w:bookmarkStart w:id="21" w:name="example-of-counterparty-credit-risk-job-description"/>
      <w:r>
        <w:t xml:space="preserve">Example of Counterparty Credit Risk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counterparty credit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counterparty-credit-risk"/>
      <w:r>
        <w:t xml:space="preserve">Responsibilities for counterparty credit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development of the risk analysis infrastructure and analyse key reporting metrics for concentration risks and material deteriorating trends are highlighted and understood</w:t>
      </w:r>
    </w:p>
    <w:p>
      <w:pPr>
        <w:pStyle w:val="Compact"/>
        <w:numPr>
          <w:numId w:val="1001"/>
          <w:ilvl w:val="0"/>
        </w:numPr>
      </w:pPr>
      <w:r>
        <w:t xml:space="preserve">Develop new risk analytics to improve risk monitoring effectiveness incorporating trend and concentration analysis</w:t>
      </w:r>
    </w:p>
    <w:p>
      <w:pPr>
        <w:pStyle w:val="Compact"/>
        <w:numPr>
          <w:numId w:val="1001"/>
          <w:ilvl w:val="0"/>
        </w:numPr>
      </w:pPr>
      <w:r>
        <w:t xml:space="preserve">Design and implement new reports that will assist in the effective management of counterparty credit risk</w:t>
      </w:r>
    </w:p>
    <w:p>
      <w:pPr>
        <w:pStyle w:val="Compact"/>
        <w:numPr>
          <w:numId w:val="1001"/>
          <w:ilvl w:val="0"/>
        </w:numPr>
      </w:pPr>
      <w:r>
        <w:t xml:space="preserve">Enhance the risk aggregation and analysis tools required for counterparty credit risk</w:t>
      </w:r>
    </w:p>
    <w:p>
      <w:pPr>
        <w:pStyle w:val="Compact"/>
        <w:numPr>
          <w:numId w:val="1001"/>
          <w:ilvl w:val="0"/>
        </w:numPr>
      </w:pPr>
      <w:r>
        <w:t xml:space="preserve">Review settlement and other operational reports for relevance to counterparty credit risk and highlight deteriorating trends</w:t>
      </w:r>
    </w:p>
    <w:p>
      <w:pPr>
        <w:pStyle w:val="Compact"/>
        <w:numPr>
          <w:numId w:val="1001"/>
          <w:ilvl w:val="0"/>
        </w:numPr>
      </w:pPr>
      <w:r>
        <w:t xml:space="preserve">Ensure that a robust process for reporting limit breaches in counterparty credit risks is in place</w:t>
      </w:r>
    </w:p>
    <w:p>
      <w:pPr>
        <w:pStyle w:val="Compact"/>
        <w:numPr>
          <w:numId w:val="1001"/>
          <w:ilvl w:val="0"/>
        </w:numPr>
      </w:pPr>
      <w:r>
        <w:t xml:space="preserve">Ensure engagement and coordination of functional requirements across MR, eg risk managers, methodology , and other key partners of MR, eg Front Office, IT, Operations, Finance (PM/BA)</w:t>
      </w:r>
    </w:p>
    <w:p>
      <w:pPr>
        <w:pStyle w:val="Compact"/>
        <w:numPr>
          <w:numId w:val="1001"/>
          <w:ilvl w:val="0"/>
        </w:numPr>
      </w:pPr>
      <w:r>
        <w:t xml:space="preserve">Ensure engagement and coordination of functional requirements across the division eg</w:t>
      </w:r>
    </w:p>
    <w:p>
      <w:pPr>
        <w:pStyle w:val="Compact"/>
        <w:numPr>
          <w:numId w:val="1001"/>
          <w:ilvl w:val="0"/>
        </w:numPr>
      </w:pPr>
      <w:r>
        <w:t xml:space="preserve">Partner with Group Risk Management to understand business strategies and support development activities</w:t>
      </w:r>
    </w:p>
    <w:p>
      <w:pPr>
        <w:pStyle w:val="Compact"/>
        <w:numPr>
          <w:numId w:val="1001"/>
          <w:ilvl w:val="0"/>
        </w:numPr>
      </w:pPr>
      <w:r>
        <w:t xml:space="preserve">Partner with Risk Architecture to understand, influence and drive forward the technology strategy</w:t>
      </w:r>
    </w:p>
    <w:p>
      <w:pPr>
        <w:pStyle w:val="Heading2"/>
      </w:pPr>
      <w:bookmarkStart w:id="23" w:name="qualifications-for-counterparty-credit-risk"/>
      <w:r>
        <w:t xml:space="preserve">Qualifications for counterparty credit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identify and prioritize issues, execute effectively against priorities within agreed timeframes</w:t>
      </w:r>
    </w:p>
    <w:p>
      <w:pPr>
        <w:pStyle w:val="Compact"/>
        <w:numPr>
          <w:numId w:val="1002"/>
          <w:ilvl w:val="0"/>
        </w:numPr>
      </w:pPr>
      <w:r>
        <w:t xml:space="preserve">Partner with other bank groups to ensure completeness and accuracy of transaction and market data feeds stable and resilient systems for counterparty credit exposure calculations</w:t>
      </w:r>
    </w:p>
    <w:p>
      <w:pPr>
        <w:pStyle w:val="Compact"/>
        <w:numPr>
          <w:numId w:val="1002"/>
          <w:ilvl w:val="0"/>
        </w:numPr>
      </w:pPr>
      <w:r>
        <w:t xml:space="preserve">Bachelors/Master’s degree in a technical field, Engineering, Computer Science, Mathematics, Statistics</w:t>
      </w:r>
    </w:p>
    <w:p>
      <w:pPr>
        <w:pStyle w:val="Compact"/>
        <w:numPr>
          <w:numId w:val="1002"/>
          <w:ilvl w:val="0"/>
        </w:numPr>
      </w:pPr>
      <w:r>
        <w:t xml:space="preserve">Solid understanding of IB Products &amp; their markets, Credit and counterparty risk management (A-IRB / IMM models), including regulatory capital models and stress testing</w:t>
      </w:r>
    </w:p>
    <w:p>
      <w:pPr>
        <w:pStyle w:val="Compact"/>
        <w:numPr>
          <w:numId w:val="1002"/>
          <w:ilvl w:val="0"/>
        </w:numPr>
      </w:pPr>
      <w:r>
        <w:t xml:space="preserve">Understanding of Risk (Basel 3) based regulation pertaining to CADII (Advanced) approved banks</w:t>
      </w:r>
    </w:p>
    <w:p>
      <w:pPr>
        <w:pStyle w:val="Compact"/>
        <w:numPr>
          <w:numId w:val="1002"/>
          <w:ilvl w:val="0"/>
        </w:numPr>
      </w:pPr>
      <w:r>
        <w:t xml:space="preserve">To be able to work within tight deadlines (to help deliver significant Regulatory deliverables within a set period of time)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unterparty-credit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unterparty-credit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2021-10-28T13:10:10Z</dcterms:created>
  <dcterms:modified xsi:type="dcterms:W3CDTF">2021-10-28T13:10:10Z</dcterms:modified>
</cp:coreProperties>
</file>