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https://www.velvetjobs.com/job-descriptions/compliance-associate-director</w:t>
        </w:r>
      </w:hyperlink>
    </w:p>
    <w:p>
      <w:pPr>
        <w:pStyle w:val="Heading1"/>
      </w:pPr>
      <w:bookmarkStart w:id="21" w:name="example-of-compliance-associate-director-job-description"/>
      <w:r>
        <w:t xml:space="preserve">Example of Compliance, Associate Director Job Description</w:t>
      </w:r>
      <w:bookmarkEnd w:id="21"/>
    </w:p>
    <w:p>
      <w:pPr>
        <w:pStyle w:val="Compact"/>
      </w:pPr>
      <w:r>
        <w:t xml:space="preserve">Our company is hiring for a compliance, associate director. Thank you in advance for taking a look at the list of responsibilities and qualifications. We look forward to reviewing your resume.</w:t>
      </w:r>
    </w:p>
    <w:p>
      <w:pPr>
        <w:pStyle w:val="Heading2"/>
      </w:pPr>
      <w:bookmarkStart w:id="22" w:name="responsibilities-for-compliance-associate-director"/>
      <w:r>
        <w:t xml:space="preserve">Responsibilities for compliance, associate director</w:t>
      </w:r>
      <w:bookmarkEnd w:id="22"/>
    </w:p>
    <w:p>
      <w:pPr>
        <w:pStyle w:val="Compact"/>
        <w:numPr>
          <w:numId w:val="1001"/>
          <w:ilvl w:val="0"/>
        </w:numPr>
      </w:pPr>
      <w:r>
        <w:t xml:space="preserve">Excellent listening, communication, and writing skills are necessary along with the ability to coordinate with all other departments, volunteers, senior administration members and faculty</w:t>
      </w:r>
    </w:p>
    <w:p>
      <w:pPr>
        <w:pStyle w:val="Compact"/>
        <w:numPr>
          <w:numId w:val="1001"/>
          <w:ilvl w:val="0"/>
        </w:numPr>
      </w:pPr>
      <w:r>
        <w:t xml:space="preserve">Coordinates all CCDS preparation, review, approval, distribution, and maintenance activities</w:t>
      </w:r>
    </w:p>
    <w:p>
      <w:pPr>
        <w:pStyle w:val="Compact"/>
        <w:numPr>
          <w:numId w:val="1001"/>
          <w:ilvl w:val="0"/>
        </w:numPr>
      </w:pPr>
      <w:r>
        <w:t xml:space="preserve">Provides guidance to Local and Regional RA regarding the consistency of proposed regional/national labeling content with CCDS concepts and tracks local compliance</w:t>
      </w:r>
    </w:p>
    <w:p>
      <w:pPr>
        <w:pStyle w:val="Compact"/>
        <w:numPr>
          <w:numId w:val="1001"/>
          <w:ilvl w:val="0"/>
        </w:numPr>
      </w:pPr>
      <w:r>
        <w:t xml:space="preserve">Formulates and implements regulatory strategy for labeling for CCDS development</w:t>
      </w:r>
    </w:p>
    <w:p>
      <w:pPr>
        <w:pStyle w:val="Compact"/>
        <w:numPr>
          <w:numId w:val="1001"/>
          <w:ilvl w:val="0"/>
        </w:numPr>
      </w:pPr>
      <w:r>
        <w:t xml:space="preserve">Monitoring &amp; transaction testing of business processes and providing counsel to the business on remediation of business processes</w:t>
      </w:r>
    </w:p>
    <w:p>
      <w:pPr>
        <w:pStyle w:val="Compact"/>
        <w:numPr>
          <w:numId w:val="1001"/>
          <w:ilvl w:val="0"/>
        </w:numPr>
      </w:pPr>
      <w:r>
        <w:t xml:space="preserve">Provide expert strategy, direction, and advice to BRQC and business partners related to GxP regulatory requirements</w:t>
      </w:r>
    </w:p>
    <w:p>
      <w:pPr>
        <w:pStyle w:val="Compact"/>
        <w:numPr>
          <w:numId w:val="1001"/>
          <w:ilvl w:val="0"/>
        </w:numPr>
      </w:pPr>
      <w:r>
        <w:t xml:space="preserve">Contribute to the strategic design and implementation of an effective and proactive inspection readiness and management framework to optimally prepare and support inspections</w:t>
      </w:r>
    </w:p>
    <w:p>
      <w:pPr>
        <w:pStyle w:val="Compact"/>
        <w:numPr>
          <w:numId w:val="1001"/>
          <w:ilvl w:val="0"/>
        </w:numPr>
      </w:pPr>
      <w:r>
        <w:t xml:space="preserve">Collaborate with other company functions, including, but not limited to Commercial Operations, Medical Affairs, Clinical Sciences and Regulatory Affairs to provide advice and counsel regarding potential compliance issues and risks</w:t>
      </w:r>
    </w:p>
    <w:p>
      <w:pPr>
        <w:pStyle w:val="Compact"/>
        <w:numPr>
          <w:numId w:val="1001"/>
          <w:ilvl w:val="0"/>
        </w:numPr>
      </w:pPr>
      <w:r>
        <w:t xml:space="preserve">Evaluate, approve, and monitor company interactions with healthcare professionals, healthcare organisations, patient organisations and other relevant third parties, to ensure they are compliant and permitted for appropriate business purposes, including organisation of advisory boards, meetings and scientific congresses</w:t>
      </w:r>
    </w:p>
    <w:p>
      <w:pPr>
        <w:pStyle w:val="Compact"/>
        <w:numPr>
          <w:numId w:val="1001"/>
          <w:ilvl w:val="0"/>
        </w:numPr>
      </w:pPr>
      <w:r>
        <w:t xml:space="preserve">Review of communications related to the company’s development programs to ensure they accurately and appropriately inform interested parties as to relevant information about the status and progress of clinical trials</w:t>
      </w:r>
    </w:p>
    <w:p>
      <w:pPr>
        <w:pStyle w:val="Heading2"/>
      </w:pPr>
      <w:bookmarkStart w:id="23" w:name="qualifications-for-compliance-associate-director"/>
      <w:r>
        <w:t xml:space="preserve">Qualifications for compliance, associate director</w:t>
      </w:r>
      <w:bookmarkEnd w:id="23"/>
    </w:p>
    <w:p>
      <w:pPr>
        <w:pStyle w:val="Compact"/>
        <w:numPr>
          <w:numId w:val="1002"/>
          <w:ilvl w:val="0"/>
        </w:numPr>
      </w:pPr>
      <w:r>
        <w:t xml:space="preserve">Strong understanding of wealth management products (especially FX, fixed income, equities), brokerage business, banking, credit, custody and trust products and services</w:t>
      </w:r>
    </w:p>
    <w:p>
      <w:pPr>
        <w:pStyle w:val="Compact"/>
        <w:numPr>
          <w:numId w:val="1002"/>
          <w:ilvl w:val="0"/>
        </w:numPr>
      </w:pPr>
      <w:r>
        <w:t xml:space="preserve">In depth understanding of private banking business and industry best practice approaches and needs</w:t>
      </w:r>
    </w:p>
    <w:p>
      <w:pPr>
        <w:pStyle w:val="Compact"/>
        <w:numPr>
          <w:numId w:val="1002"/>
          <w:ilvl w:val="0"/>
        </w:numPr>
      </w:pPr>
      <w:r>
        <w:t xml:space="preserve">Analytical/Audit/Law/Compliance background</w:t>
      </w:r>
    </w:p>
    <w:p>
      <w:pPr>
        <w:pStyle w:val="Compact"/>
        <w:numPr>
          <w:numId w:val="1002"/>
          <w:ilvl w:val="0"/>
        </w:numPr>
      </w:pPr>
      <w:r>
        <w:t xml:space="preserve">Good knowledge of UCITS and NURS rules</w:t>
      </w:r>
    </w:p>
    <w:p>
      <w:pPr>
        <w:pStyle w:val="Compact"/>
        <w:numPr>
          <w:numId w:val="1002"/>
          <w:ilvl w:val="0"/>
        </w:numPr>
      </w:pPr>
      <w:r>
        <w:t xml:space="preserve">Good working knowledge and understanding of fixed income and equity securities, and their derivatives</w:t>
      </w:r>
    </w:p>
    <w:p>
      <w:pPr>
        <w:pStyle w:val="Compact"/>
        <w:numPr>
          <w:numId w:val="1002"/>
          <w:ilvl w:val="0"/>
        </w:numPr>
      </w:pPr>
      <w:r>
        <w:t xml:space="preserve">Leadership skills – 5+ years of managing people, business relationships, interacting with regulators, Auditors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2021-10-28T18:37:13Z</dcterms:created>
  <dcterms:modified xsi:type="dcterms:W3CDTF">2021-10-28T18:37:13Z</dcterms:modified>
</cp:coreProperties>
</file>