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https://www.velvetjobs.com/job-descriptions/commercial-market</w:t>
        </w:r>
      </w:hyperlink>
    </w:p>
    <w:p>
      <w:pPr>
        <w:pStyle w:val="Heading1"/>
      </w:pPr>
      <w:bookmarkStart w:id="21" w:name="example-of-commercial-market-job-description"/>
      <w:r>
        <w:t xml:space="preserve">Example of Commercial Market Job Description</w:t>
      </w:r>
      <w:bookmarkEnd w:id="21"/>
    </w:p>
    <w:p>
      <w:pPr>
        <w:pStyle w:val="Compact"/>
      </w:pPr>
      <w:r>
        <w:t xml:space="preserve">Our innovative and growing company is looking for a commercial market.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ercial-market"/>
      <w:r>
        <w:t xml:space="preserve">Responsibilities for commercial market</w:t>
      </w:r>
      <w:bookmarkEnd w:id="22"/>
    </w:p>
    <w:p>
      <w:pPr>
        <w:pStyle w:val="Compact"/>
        <w:numPr>
          <w:numId w:val="1001"/>
          <w:ilvl w:val="0"/>
        </w:numPr>
      </w:pPr>
      <w:r>
        <w:t xml:space="preserve">Strong project leadership skills and ability to develop and track KPIs aligned with the Area strategy</w:t>
      </w:r>
    </w:p>
    <w:p>
      <w:pPr>
        <w:pStyle w:val="Compact"/>
        <w:numPr>
          <w:numId w:val="1001"/>
          <w:ilvl w:val="0"/>
        </w:numPr>
      </w:pPr>
      <w:r>
        <w:t xml:space="preserve">Management and ongoing development of the U.S. Go to Market Team, including teams responsible for Customer Engagement, Digital Marketing, Commercial Information Management and Patient Solutions</w:t>
      </w:r>
    </w:p>
    <w:p>
      <w:pPr>
        <w:pStyle w:val="Compact"/>
        <w:numPr>
          <w:numId w:val="1001"/>
          <w:ilvl w:val="0"/>
        </w:numPr>
      </w:pPr>
      <w:r>
        <w:t xml:space="preserve">Oversight and management of the delivery of Commercial Platform projects across the broader U.S. Region</w:t>
      </w:r>
    </w:p>
    <w:p>
      <w:pPr>
        <w:pStyle w:val="Compact"/>
        <w:numPr>
          <w:numId w:val="1001"/>
          <w:ilvl w:val="0"/>
        </w:numPr>
      </w:pPr>
      <w:r>
        <w:t xml:space="preserve">Resource allocation across Regional and Global Projects, in conjunction with the other regional GtM and Commercial Platform Leads</w:t>
      </w:r>
    </w:p>
    <w:p>
      <w:pPr>
        <w:pStyle w:val="Compact"/>
        <w:numPr>
          <w:numId w:val="1001"/>
          <w:ilvl w:val="0"/>
        </w:numPr>
      </w:pPr>
      <w:r>
        <w:t xml:space="preserve">Communicating a clear value proposition for the Commercial Platforms for IT and Business Stakeholders</w:t>
      </w:r>
    </w:p>
    <w:p>
      <w:pPr>
        <w:pStyle w:val="Compact"/>
        <w:numPr>
          <w:numId w:val="1001"/>
          <w:ilvl w:val="0"/>
        </w:numPr>
      </w:pPr>
      <w:r>
        <w:t xml:space="preserve">Representing the Commercial Platforms with all U.S. based stakeholders – both IT and Business, including participation in Governance bodies to aid with demand management and project execution tracking</w:t>
      </w:r>
    </w:p>
    <w:p>
      <w:pPr>
        <w:pStyle w:val="Compact"/>
        <w:numPr>
          <w:numId w:val="1001"/>
          <w:ilvl w:val="0"/>
        </w:numPr>
      </w:pPr>
      <w:r>
        <w:t xml:space="preserve">Building deep understanding of the U.S. business objectives and work with the Commercial Platform Leads to drive platform evolution to ensure business alignment</w:t>
      </w:r>
    </w:p>
    <w:p>
      <w:pPr>
        <w:pStyle w:val="Compact"/>
        <w:numPr>
          <w:numId w:val="1001"/>
          <w:ilvl w:val="0"/>
        </w:numPr>
      </w:pPr>
      <w:r>
        <w:t xml:space="preserve">Providing Go to Market thought leadership across platforms and divisions</w:t>
      </w:r>
    </w:p>
    <w:p>
      <w:pPr>
        <w:pStyle w:val="Compact"/>
        <w:numPr>
          <w:numId w:val="1001"/>
          <w:ilvl w:val="0"/>
        </w:numPr>
      </w:pPr>
      <w:r>
        <w:t xml:space="preserve">Influencing effectively at all levels of the company and managing change, building and maintaining productive relationships with Executive Sponsors and key Stakeholders at Regional and Global levels</w:t>
      </w:r>
    </w:p>
    <w:p>
      <w:pPr>
        <w:pStyle w:val="Compact"/>
        <w:numPr>
          <w:numId w:val="1001"/>
          <w:ilvl w:val="0"/>
        </w:numPr>
      </w:pPr>
      <w:r>
        <w:t xml:space="preserve">Participating with external organizations to benchmark and share best practice and improve internal procedures to maximize corporate value capture</w:t>
      </w:r>
    </w:p>
    <w:p>
      <w:pPr>
        <w:pStyle w:val="Heading2"/>
      </w:pPr>
      <w:bookmarkStart w:id="23" w:name="qualifications-for-commercial-market"/>
      <w:r>
        <w:t xml:space="preserve">Qualifications for commercial market</w:t>
      </w:r>
      <w:bookmarkEnd w:id="23"/>
    </w:p>
    <w:p>
      <w:pPr>
        <w:pStyle w:val="Compact"/>
        <w:numPr>
          <w:numId w:val="1002"/>
          <w:ilvl w:val="0"/>
        </w:numPr>
      </w:pPr>
      <w:r>
        <w:t xml:space="preserve">Manages the credit operational risk of the Market while driving profitable business growth</w:t>
      </w:r>
    </w:p>
    <w:p>
      <w:pPr>
        <w:pStyle w:val="Compact"/>
        <w:numPr>
          <w:numId w:val="1002"/>
          <w:ilvl w:val="0"/>
        </w:numPr>
      </w:pPr>
      <w:r>
        <w:t xml:space="preserve">Ensures adherence to Risk Policies, implements operational risk processes, policies, and practices and drives business successes</w:t>
      </w:r>
    </w:p>
    <w:p>
      <w:pPr>
        <w:pStyle w:val="Compact"/>
        <w:numPr>
          <w:numId w:val="1002"/>
          <w:ilvl w:val="0"/>
        </w:numPr>
      </w:pPr>
      <w:r>
        <w:t xml:space="preserve">Assists in executing the Market or Middle Market team’s Business Plan by ensuring timely and consistent underwriting of new</w:t>
      </w:r>
    </w:p>
    <w:p>
      <w:pPr>
        <w:pStyle w:val="Compact"/>
        <w:numPr>
          <w:numId w:val="1002"/>
          <w:ilvl w:val="0"/>
        </w:numPr>
      </w:pPr>
      <w:r>
        <w:t xml:space="preserve">Directs the completion of annual reviews and renewals of existing credit relationships in a timely manner and in accordance with Credit Policy in order to minimize credit risk, while meeting the service level agreement within Market or Middle Market team</w:t>
      </w:r>
    </w:p>
    <w:p>
      <w:pPr>
        <w:pStyle w:val="Compact"/>
        <w:numPr>
          <w:numId w:val="1002"/>
          <w:ilvl w:val="0"/>
        </w:numPr>
      </w:pPr>
      <w:r>
        <w:t xml:space="preserve">Directs the review of compliance with loan covenants within the Market or Middle Market team</w:t>
      </w:r>
    </w:p>
    <w:p>
      <w:pPr>
        <w:pStyle w:val="Compact"/>
        <w:numPr>
          <w:numId w:val="1002"/>
          <w:ilvl w:val="0"/>
        </w:numPr>
      </w:pPr>
      <w:r>
        <w:t xml:space="preserve">Serves as the leader on commercial loan structuring, pricing models, Risk Adjusted Return on Capital (RAROC), Maestro and loan reporting systems within the Market or Middle Market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marke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mark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2021-10-28T18:35:45Z</dcterms:created>
  <dcterms:modified xsi:type="dcterms:W3CDTF">2021-10-28T18:35:45Z</dcterms:modified>
</cp:coreProperties>
</file>