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https://www.velvetjobs.com/job-descriptions/commercial-finance</w:t>
        </w:r>
      </w:hyperlink>
    </w:p>
    <w:p>
      <w:pPr>
        <w:pStyle w:val="Heading1"/>
      </w:pPr>
      <w:bookmarkStart w:id="21" w:name="example-of-commercial-finance-job-description"/>
      <w:r>
        <w:t xml:space="preserve">Example of Commercial Finance Job Description</w:t>
      </w:r>
      <w:bookmarkEnd w:id="21"/>
    </w:p>
    <w:p>
      <w:pPr>
        <w:pStyle w:val="Compact"/>
      </w:pPr>
      <w:r>
        <w:t xml:space="preserve">Our company is looking for a commercial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finance"/>
      <w:r>
        <w:t xml:space="preserve">Responsibilities for commercial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communicate complex investment strategies (eg freehold vs leasehold) and investment calculations</w:t>
      </w:r>
    </w:p>
    <w:p>
      <w:pPr>
        <w:pStyle w:val="Compact"/>
        <w:numPr>
          <w:numId w:val="1001"/>
          <w:ilvl w:val="0"/>
        </w:numPr>
      </w:pPr>
      <w:r>
        <w:t xml:space="preserve">Fixed fee Schedule - Ensure accuracy and timely submission to the client on a monthly basis</w:t>
      </w:r>
    </w:p>
    <w:p>
      <w:pPr>
        <w:pStyle w:val="Compact"/>
        <w:numPr>
          <w:numId w:val="1001"/>
          <w:ilvl w:val="0"/>
        </w:numPr>
      </w:pPr>
      <w:r>
        <w:t xml:space="preserve">Compensation Events - Track and drive to closure changes to the fixed price contract, ensuring compensation events/change notices are accurately reflected in the Fixed Price Contract</w:t>
      </w:r>
    </w:p>
    <w:p>
      <w:pPr>
        <w:pStyle w:val="Compact"/>
        <w:numPr>
          <w:numId w:val="1001"/>
          <w:ilvl w:val="0"/>
        </w:numPr>
      </w:pPr>
      <w:r>
        <w:t xml:space="preserve">Variable Billing - Manage the Service Lines to ensure variable billing is accurate, client friendly and maximises the recoverability against the contract</w:t>
      </w:r>
    </w:p>
    <w:p>
      <w:pPr>
        <w:pStyle w:val="Compact"/>
        <w:numPr>
          <w:numId w:val="1001"/>
          <w:ilvl w:val="0"/>
        </w:numPr>
      </w:pPr>
      <w:r>
        <w:t xml:space="preserve">Management of debt to ensure all invoices paid to contractual terms</w:t>
      </w:r>
    </w:p>
    <w:p>
      <w:pPr>
        <w:pStyle w:val="Compact"/>
        <w:numPr>
          <w:numId w:val="1001"/>
          <w:ilvl w:val="0"/>
        </w:numPr>
      </w:pPr>
      <w:r>
        <w:t xml:space="preserve">Monthly preparation of key financial data for inclusion on the monthly client Board Pack</w:t>
      </w:r>
    </w:p>
    <w:p>
      <w:pPr>
        <w:pStyle w:val="Compact"/>
        <w:numPr>
          <w:numId w:val="1001"/>
          <w:ilvl w:val="0"/>
        </w:numPr>
      </w:pPr>
      <w:r>
        <w:t xml:space="preserve">Hold monthly service line reviews to understand performance and to drive profitability</w:t>
      </w:r>
    </w:p>
    <w:p>
      <w:pPr>
        <w:pStyle w:val="Compact"/>
        <w:numPr>
          <w:numId w:val="1001"/>
          <w:ilvl w:val="0"/>
        </w:numPr>
      </w:pPr>
      <w:r>
        <w:t xml:space="preserve">Act as key business partner to commercial team, project team and regional management team</w:t>
      </w:r>
    </w:p>
    <w:p>
      <w:pPr>
        <w:pStyle w:val="Compact"/>
        <w:numPr>
          <w:numId w:val="1001"/>
          <w:ilvl w:val="0"/>
        </w:numPr>
      </w:pPr>
      <w:r>
        <w:t xml:space="preserve">Assist regional management team and project team in setting up rolling forecast, annual budget process</w:t>
      </w:r>
    </w:p>
    <w:p>
      <w:pPr>
        <w:pStyle w:val="Compact"/>
        <w:numPr>
          <w:numId w:val="1001"/>
          <w:ilvl w:val="0"/>
        </w:numPr>
      </w:pPr>
      <w:r>
        <w:t xml:space="preserve">Work closely with supply chain, project team and IT to standardize policy, establish procedures and automate analysis reports across regions</w:t>
      </w:r>
    </w:p>
    <w:p>
      <w:pPr>
        <w:pStyle w:val="Heading2"/>
      </w:pPr>
      <w:bookmarkStart w:id="23" w:name="qualifications-for-commercial-finance"/>
      <w:r>
        <w:t xml:space="preserve">Qualifications for commercial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Detail-oriented combined with solid data interpretation</w:t>
      </w:r>
    </w:p>
    <w:p>
      <w:pPr>
        <w:pStyle w:val="Compact"/>
        <w:numPr>
          <w:numId w:val="1002"/>
          <w:ilvl w:val="0"/>
        </w:numPr>
      </w:pPr>
      <w:r>
        <w:t xml:space="preserve">Ability to influence key business strategies and initiatives</w:t>
      </w:r>
    </w:p>
    <w:p>
      <w:pPr>
        <w:pStyle w:val="Compact"/>
        <w:numPr>
          <w:numId w:val="1002"/>
          <w:ilvl w:val="0"/>
        </w:numPr>
      </w:pPr>
      <w:r>
        <w:t xml:space="preserve">CPA/ACCA/MBA preferred</w:t>
      </w:r>
    </w:p>
    <w:p>
      <w:pPr>
        <w:pStyle w:val="Compact"/>
        <w:numPr>
          <w:numId w:val="1002"/>
          <w:ilvl w:val="0"/>
        </w:numPr>
      </w:pPr>
      <w:r>
        <w:t xml:space="preserve">Travel up to 10 to 15% of work time under normal conditions</w:t>
      </w:r>
    </w:p>
    <w:p>
      <w:pPr>
        <w:pStyle w:val="Compact"/>
        <w:numPr>
          <w:numId w:val="1002"/>
          <w:ilvl w:val="0"/>
        </w:numPr>
      </w:pPr>
      <w:r>
        <w:t xml:space="preserve">Familiar with Chinese GAAP and IFRS standard</w:t>
      </w:r>
    </w:p>
    <w:p>
      <w:pPr>
        <w:pStyle w:val="Compact"/>
        <w:numPr>
          <w:numId w:val="1002"/>
          <w:ilvl w:val="0"/>
        </w:numPr>
      </w:pPr>
      <w:r>
        <w:t xml:space="preserve">Familiar with domestic economic law and government policies such as SAFE policies, tax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2021-10-28T13:03:38Z</dcterms:created>
  <dcterms:modified xsi:type="dcterms:W3CDTF">2021-10-28T13:03:38Z</dcterms:modified>
</cp:coreProperties>
</file>