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https://www.velvetjobs.com/job-descriptions/college-instructor</w:t>
        </w:r>
      </w:hyperlink>
    </w:p>
    <w:p>
      <w:pPr>
        <w:pStyle w:val="Heading1"/>
      </w:pPr>
      <w:bookmarkStart w:id="21" w:name="example-of-college-instructor-job-description"/>
      <w:r>
        <w:t xml:space="preserve">Example of College Instructor Job Description</w:t>
      </w:r>
      <w:bookmarkEnd w:id="21"/>
    </w:p>
    <w:p>
      <w:pPr>
        <w:pStyle w:val="Compact"/>
      </w:pPr>
      <w:r>
        <w:t xml:space="preserve">Our growing company is searching for experienced candidates for the position of college instructor. Thank you in advance for taking a look at the list of responsibilities and qualifications. We look forward to reviewing your resume.</w:t>
      </w:r>
    </w:p>
    <w:p>
      <w:pPr>
        <w:pStyle w:val="Heading2"/>
      </w:pPr>
      <w:bookmarkStart w:id="22" w:name="responsibilities-for-college-instructor"/>
      <w:r>
        <w:t xml:space="preserve">Responsibilities for college instructor</w:t>
      </w:r>
      <w:bookmarkEnd w:id="22"/>
    </w:p>
    <w:p>
      <w:pPr>
        <w:pStyle w:val="Compact"/>
        <w:numPr>
          <w:numId w:val="1001"/>
          <w:ilvl w:val="0"/>
        </w:numPr>
      </w:pPr>
      <w:r>
        <w:t xml:space="preserve">Coordinates learning experiences with appropriate clinical staff</w:t>
      </w:r>
    </w:p>
    <w:p>
      <w:pPr>
        <w:pStyle w:val="Compact"/>
        <w:numPr>
          <w:numId w:val="1001"/>
          <w:ilvl w:val="0"/>
        </w:numPr>
      </w:pPr>
      <w:r>
        <w:t xml:space="preserve">Implements clinical instruction facilitating student attainment of expected clinical behaviors</w:t>
      </w:r>
    </w:p>
    <w:p>
      <w:pPr>
        <w:pStyle w:val="Compact"/>
        <w:numPr>
          <w:numId w:val="1001"/>
          <w:ilvl w:val="0"/>
        </w:numPr>
      </w:pPr>
      <w:r>
        <w:t xml:space="preserve">Plans clinical experiences to assist students to achieve course objectives</w:t>
      </w:r>
    </w:p>
    <w:p>
      <w:pPr>
        <w:pStyle w:val="Compact"/>
        <w:numPr>
          <w:numId w:val="1001"/>
          <w:ilvl w:val="0"/>
        </w:numPr>
      </w:pPr>
      <w:r>
        <w:t xml:space="preserve">Evaluates student achievement of expected learning behaviors</w:t>
      </w:r>
    </w:p>
    <w:p>
      <w:pPr>
        <w:pStyle w:val="Compact"/>
        <w:numPr>
          <w:numId w:val="1001"/>
          <w:ilvl w:val="0"/>
        </w:numPr>
      </w:pPr>
      <w:r>
        <w:t xml:space="preserve">Provides verbal/written feedback and implements ongoing assessment of student learning</w:t>
      </w:r>
    </w:p>
    <w:p>
      <w:pPr>
        <w:pStyle w:val="Compact"/>
        <w:numPr>
          <w:numId w:val="1001"/>
          <w:ilvl w:val="0"/>
        </w:numPr>
      </w:pPr>
      <w:r>
        <w:t xml:space="preserve">Mix of Dual Credit liaison duties requiring visits to partner high schools and teaching undergraduate courses in mathematics, statistics and computer science for students from all departments</w:t>
      </w:r>
    </w:p>
    <w:p>
      <w:pPr>
        <w:pStyle w:val="Compact"/>
        <w:numPr>
          <w:numId w:val="1001"/>
          <w:ilvl w:val="0"/>
        </w:numPr>
      </w:pPr>
      <w:r>
        <w:t xml:space="preserve">Serves as faculty for the Doctorate of Nursing Practice program (DNP)</w:t>
      </w:r>
    </w:p>
    <w:p>
      <w:pPr>
        <w:pStyle w:val="Compact"/>
        <w:numPr>
          <w:numId w:val="1001"/>
          <w:ilvl w:val="0"/>
        </w:numPr>
      </w:pPr>
      <w:r>
        <w:t xml:space="preserve">Responsibilities include using evidence-based approaches to teaching in online undergraduate or graduate programs</w:t>
      </w:r>
    </w:p>
    <w:p>
      <w:pPr>
        <w:pStyle w:val="Compact"/>
        <w:numPr>
          <w:numId w:val="1001"/>
          <w:ilvl w:val="0"/>
        </w:numPr>
      </w:pPr>
      <w:r>
        <w:t xml:space="preserve">Seeking professional development in teaching and learning for the appropriate learning environments</w:t>
      </w:r>
    </w:p>
    <w:p>
      <w:pPr>
        <w:pStyle w:val="Compact"/>
        <w:numPr>
          <w:numId w:val="1001"/>
          <w:ilvl w:val="0"/>
        </w:numPr>
      </w:pPr>
      <w:r>
        <w:t xml:space="preserve">Participating in professional and community service</w:t>
      </w:r>
    </w:p>
    <w:p>
      <w:pPr>
        <w:pStyle w:val="Heading2"/>
      </w:pPr>
      <w:bookmarkStart w:id="23" w:name="qualifications-for-college-instructor"/>
      <w:r>
        <w:t xml:space="preserve">Qualifications for college instructor</w:t>
      </w:r>
      <w:bookmarkEnd w:id="23"/>
    </w:p>
    <w:p>
      <w:pPr>
        <w:pStyle w:val="Compact"/>
        <w:numPr>
          <w:numId w:val="1002"/>
          <w:ilvl w:val="0"/>
        </w:numPr>
      </w:pPr>
      <w:r>
        <w:t xml:space="preserve">Master's degree in teaching area of responsibility</w:t>
      </w:r>
    </w:p>
    <w:p>
      <w:pPr>
        <w:pStyle w:val="Compact"/>
        <w:numPr>
          <w:numId w:val="1002"/>
          <w:ilvl w:val="0"/>
        </w:numPr>
      </w:pPr>
      <w:r>
        <w:t xml:space="preserve">18 graduate credit hours in course content</w:t>
      </w:r>
    </w:p>
    <w:p>
      <w:pPr>
        <w:pStyle w:val="Compact"/>
        <w:numPr>
          <w:numId w:val="1002"/>
          <w:ilvl w:val="0"/>
        </w:numPr>
      </w:pPr>
      <w:r>
        <w:t xml:space="preserve">Minimum 90th percentile score on the DAT/OAT</w:t>
      </w:r>
    </w:p>
    <w:p>
      <w:pPr>
        <w:pStyle w:val="Compact"/>
        <w:numPr>
          <w:numId w:val="1002"/>
          <w:ilvl w:val="0"/>
        </w:numPr>
      </w:pPr>
      <w:r>
        <w:t xml:space="preserve">Candidate must have obtained at least a conferred Master’s Degree in marketing or merchandising from an institution accredited by an agency recognized by the U.S. Department of Education (or international equivalent), additional requirements driven by state licensing or accreditation considerations may apply</w:t>
      </w:r>
    </w:p>
    <w:p>
      <w:pPr>
        <w:pStyle w:val="Compact"/>
        <w:numPr>
          <w:numId w:val="1002"/>
          <w:ilvl w:val="0"/>
        </w:numPr>
      </w:pPr>
      <w:r>
        <w:t xml:space="preserve">Complete online professional development prior to instructional staff training</w:t>
      </w:r>
    </w:p>
    <w:p>
      <w:pPr>
        <w:pStyle w:val="Compact"/>
        <w:numPr>
          <w:numId w:val="1002"/>
          <w:ilvl w:val="0"/>
        </w:numPr>
      </w:pPr>
      <w:r>
        <w:t xml:space="preserve">Prepare syllabus for each course, following CTD template &amp; instructions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ge-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ge-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2021-10-28T13:20:55Z</dcterms:created>
  <dcterms:modified xsi:type="dcterms:W3CDTF">2021-10-28T13:20:55Z</dcterms:modified>
</cp:coreProperties>
</file>