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https://www.velvetjobs.com/job-descriptions/clinical-research-physician</w:t>
        </w:r>
      </w:hyperlink>
    </w:p>
    <w:p>
      <w:pPr>
        <w:pStyle w:val="Heading1"/>
      </w:pPr>
      <w:bookmarkStart w:id="21" w:name="example-of-clinical-research-physician-job-description"/>
      <w:r>
        <w:t xml:space="preserve">Example of Clinical Research Physician Job Description</w:t>
      </w:r>
      <w:bookmarkEnd w:id="21"/>
    </w:p>
    <w:p>
      <w:pPr>
        <w:pStyle w:val="Compact"/>
      </w:pPr>
      <w:r>
        <w:t xml:space="preserve">Our growing company is searching for experienced candidates for the position of clinical research physician.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research-physician"/>
      <w:r>
        <w:t xml:space="preserve">Responsibilities for clinical research physician</w:t>
      </w:r>
      <w:bookmarkEnd w:id="22"/>
    </w:p>
    <w:p>
      <w:pPr>
        <w:pStyle w:val="Compact"/>
        <w:numPr>
          <w:numId w:val="1001"/>
          <w:ilvl w:val="0"/>
        </w:numPr>
      </w:pPr>
      <w:r>
        <w:t xml:space="preserve">Provides user training and ensures availability of documentations</w:t>
      </w:r>
    </w:p>
    <w:p>
      <w:pPr>
        <w:pStyle w:val="Compact"/>
        <w:numPr>
          <w:numId w:val="1001"/>
          <w:ilvl w:val="0"/>
        </w:numPr>
      </w:pPr>
      <w:r>
        <w:t xml:space="preserve">Ensures the availability of SOP’s and guidelines (work instruction) for system use</w:t>
      </w:r>
    </w:p>
    <w:p>
      <w:pPr>
        <w:pStyle w:val="Compact"/>
        <w:numPr>
          <w:numId w:val="1001"/>
          <w:ilvl w:val="0"/>
        </w:numPr>
      </w:pPr>
      <w:r>
        <w:t xml:space="preserve">Ensures controlled access to the system</w:t>
      </w:r>
    </w:p>
    <w:p>
      <w:pPr>
        <w:pStyle w:val="Compact"/>
        <w:numPr>
          <w:numId w:val="1001"/>
          <w:ilvl w:val="0"/>
        </w:numPr>
      </w:pPr>
      <w:r>
        <w:t xml:space="preserve">Evaluates and decides on recommended change actions</w:t>
      </w:r>
    </w:p>
    <w:p>
      <w:pPr>
        <w:pStyle w:val="Compact"/>
        <w:numPr>
          <w:numId w:val="1001"/>
          <w:ilvl w:val="0"/>
        </w:numPr>
      </w:pPr>
      <w:r>
        <w:t xml:space="preserve">Ensures that these systems are documented in the Validation Master Plan</w:t>
      </w:r>
    </w:p>
    <w:p>
      <w:pPr>
        <w:pStyle w:val="Compact"/>
        <w:numPr>
          <w:numId w:val="1001"/>
          <w:ilvl w:val="0"/>
        </w:numPr>
      </w:pPr>
      <w:r>
        <w:t xml:space="preserve">The Director Clinical Research, Oncology is a member of a matrix team dedicated to the implementation of clinical research studies that are part of a global compound development program</w:t>
      </w:r>
    </w:p>
    <w:p>
      <w:pPr>
        <w:pStyle w:val="Compact"/>
        <w:numPr>
          <w:numId w:val="1001"/>
          <w:ilvl w:val="0"/>
        </w:numPr>
      </w:pPr>
      <w:r>
        <w:t xml:space="preserve">The Director supports the Medical Leader/Clinical Leader and provides active scientific contributions to a cross-functional clinical team developing a compound currently being studied for new oncology applications</w:t>
      </w:r>
    </w:p>
    <w:p>
      <w:pPr>
        <w:pStyle w:val="Compact"/>
        <w:numPr>
          <w:numId w:val="1001"/>
          <w:ilvl w:val="0"/>
        </w:numPr>
      </w:pPr>
      <w:r>
        <w:t xml:space="preserve">Other functional groups represented on the team include project management, regulatory affairs, global clinical operations, data management, medical writing, biostatistics, medical affairs, clinical pharmacology, and health economics</w:t>
      </w:r>
    </w:p>
    <w:p>
      <w:pPr>
        <w:pStyle w:val="Compact"/>
        <w:numPr>
          <w:numId w:val="1001"/>
          <w:ilvl w:val="0"/>
        </w:numPr>
      </w:pPr>
      <w:r>
        <w:t xml:space="preserve">The Director will act as a liaison between the company and the clinical investigators</w:t>
      </w:r>
    </w:p>
    <w:p>
      <w:pPr>
        <w:pStyle w:val="Compact"/>
        <w:numPr>
          <w:numId w:val="1001"/>
          <w:ilvl w:val="0"/>
        </w:numPr>
      </w:pPr>
      <w:r>
        <w:t xml:space="preserve">He/She will be participating in the data cleaning, ongoing medical review, data interpretation and reporting of the results of the research, including submission to health authorities</w:t>
      </w:r>
    </w:p>
    <w:p>
      <w:pPr>
        <w:pStyle w:val="Heading2"/>
      </w:pPr>
      <w:bookmarkStart w:id="23" w:name="qualifications-for-clinical-research-physician"/>
      <w:r>
        <w:t xml:space="preserve">Qualifications for clinical research physician</w:t>
      </w:r>
      <w:bookmarkEnd w:id="23"/>
    </w:p>
    <w:p>
      <w:pPr>
        <w:pStyle w:val="Compact"/>
        <w:numPr>
          <w:numId w:val="1002"/>
          <w:ilvl w:val="0"/>
        </w:numPr>
      </w:pPr>
      <w:r>
        <w:t xml:space="preserve">Scientific medical research experience in Hematology/Oncology with demonstrated record of scientific medical publications</w:t>
      </w:r>
    </w:p>
    <w:p>
      <w:pPr>
        <w:pStyle w:val="Compact"/>
        <w:numPr>
          <w:numId w:val="1002"/>
          <w:ilvl w:val="0"/>
        </w:numPr>
      </w:pPr>
      <w:r>
        <w:t xml:space="preserve">A high-performing physician-scientist familiar with clinical and translational research involving biomarkers and correlative laboratory clinical trial endpoints</w:t>
      </w:r>
    </w:p>
    <w:p>
      <w:pPr>
        <w:pStyle w:val="Compact"/>
        <w:numPr>
          <w:numId w:val="1002"/>
          <w:ilvl w:val="0"/>
        </w:numPr>
      </w:pPr>
      <w:r>
        <w:t xml:space="preserve">This individual will be required to collaborate closely with relevant functions within Janssen Pharmaceuticals including discovery, translational, and biomarker research scientists, toxicologists, clinical pharmacologists, drug safety specialists, personnel from Global Clinical Operations, Global Strategic Marketing, and other support functions</w:t>
      </w:r>
    </w:p>
    <w:p>
      <w:pPr>
        <w:pStyle w:val="Compact"/>
        <w:numPr>
          <w:numId w:val="1002"/>
          <w:ilvl w:val="0"/>
        </w:numPr>
      </w:pPr>
      <w:r>
        <w:t xml:space="preserve">In this capacity the successful candidate will works closely with research group leaders, drug discovery teams, and project clinical teams</w:t>
      </w:r>
    </w:p>
    <w:p>
      <w:pPr>
        <w:pStyle w:val="Compact"/>
        <w:numPr>
          <w:numId w:val="1002"/>
          <w:ilvl w:val="0"/>
        </w:numPr>
      </w:pPr>
      <w:r>
        <w:t xml:space="preserve">The ability to communicate effectively with basic laboratory scientists and clinical teams is essential</w:t>
      </w:r>
    </w:p>
    <w:p>
      <w:pPr>
        <w:pStyle w:val="Compact"/>
        <w:numPr>
          <w:numId w:val="1002"/>
          <w:ilvl w:val="0"/>
        </w:numPr>
      </w:pPr>
      <w:r>
        <w:t xml:space="preserve">The Director is also expected to establish strong working relationships and collaborations with external study investigators, key opinion leaders in drug development, and external alliance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research-phys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research-phys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2021-10-28T13:19:09Z</dcterms:created>
  <dcterms:modified xsi:type="dcterms:W3CDTF">2021-10-28T13:19:09Z</dcterms:modified>
</cp:coreProperties>
</file>