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https://www.velvetjobs.com/job-descriptions/clinical-research-manager</w:t>
        </w:r>
      </w:hyperlink>
    </w:p>
    <w:p>
      <w:pPr>
        <w:pStyle w:val="Heading1"/>
      </w:pPr>
      <w:bookmarkStart w:id="21" w:name="example-of-clinical-research-manager-job-description"/>
      <w:r>
        <w:t xml:space="preserve">Example of Clinical Research Manager Job Description</w:t>
      </w:r>
      <w:bookmarkEnd w:id="21"/>
    </w:p>
    <w:p>
      <w:pPr>
        <w:pStyle w:val="Compact"/>
      </w:pPr>
      <w:r>
        <w:t xml:space="preserve">Our innovative and growing company is looking for a clinical research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nical-research-manager"/>
      <w:r>
        <w:t xml:space="preserve">Responsibilities for clinical research manager</w:t>
      </w:r>
      <w:bookmarkEnd w:id="22"/>
    </w:p>
    <w:p>
      <w:pPr>
        <w:pStyle w:val="Compact"/>
        <w:numPr>
          <w:numId w:val="1001"/>
          <w:ilvl w:val="0"/>
        </w:numPr>
      </w:pPr>
      <w:r>
        <w:t xml:space="preserve">May assist in the preparation of grant proposals and other written materials</w:t>
      </w:r>
    </w:p>
    <w:p>
      <w:pPr>
        <w:pStyle w:val="Compact"/>
        <w:numPr>
          <w:numId w:val="1001"/>
          <w:ilvl w:val="0"/>
        </w:numPr>
      </w:pPr>
      <w:r>
        <w:t xml:space="preserve">Prepares activity and budget reports for use by the principal investigator (PI)</w:t>
      </w:r>
    </w:p>
    <w:p>
      <w:pPr>
        <w:pStyle w:val="Compact"/>
        <w:numPr>
          <w:numId w:val="1001"/>
          <w:ilvl w:val="0"/>
        </w:numPr>
      </w:pPr>
      <w:r>
        <w:t xml:space="preserve">Acts as liaison between PI and sponsors on regulatory quality control and quality assurance matters</w:t>
      </w:r>
    </w:p>
    <w:p>
      <w:pPr>
        <w:pStyle w:val="Compact"/>
        <w:numPr>
          <w:numId w:val="1001"/>
          <w:ilvl w:val="0"/>
        </w:numPr>
      </w:pPr>
      <w:r>
        <w:t xml:space="preserve">Interfaces with regulatory bodies and other department management as needed</w:t>
      </w:r>
    </w:p>
    <w:p>
      <w:pPr>
        <w:pStyle w:val="Compact"/>
        <w:numPr>
          <w:numId w:val="1001"/>
          <w:ilvl w:val="0"/>
        </w:numPr>
      </w:pPr>
      <w:r>
        <w:t xml:space="preserve">Manage study start-up and logistical challenges for high-profile, complex clinical trial</w:t>
      </w:r>
    </w:p>
    <w:p>
      <w:pPr>
        <w:pStyle w:val="Compact"/>
        <w:numPr>
          <w:numId w:val="1001"/>
          <w:ilvl w:val="0"/>
        </w:numPr>
      </w:pPr>
      <w:r>
        <w:t xml:space="preserve">Act as key liaison between internal and external partners</w:t>
      </w:r>
    </w:p>
    <w:p>
      <w:pPr>
        <w:pStyle w:val="Compact"/>
        <w:numPr>
          <w:numId w:val="1001"/>
          <w:ilvl w:val="0"/>
        </w:numPr>
      </w:pPr>
      <w:r>
        <w:t xml:space="preserve">Recruit, hire, and train new research staff</w:t>
      </w:r>
    </w:p>
    <w:p>
      <w:pPr>
        <w:pStyle w:val="Compact"/>
        <w:numPr>
          <w:numId w:val="1001"/>
          <w:ilvl w:val="0"/>
        </w:numPr>
      </w:pPr>
      <w:r>
        <w:t xml:space="preserve">Ensure adequate staffing and resources, including back-up coverage, equipment and supplies</w:t>
      </w:r>
    </w:p>
    <w:p>
      <w:pPr>
        <w:pStyle w:val="Compact"/>
        <w:numPr>
          <w:numId w:val="1001"/>
          <w:ilvl w:val="0"/>
        </w:numPr>
      </w:pPr>
      <w:r>
        <w:t xml:space="preserve">Establish best practices relating to budget development, project monitoring and feasibility assessment, and staff utilization and workflow</w:t>
      </w:r>
    </w:p>
    <w:p>
      <w:pPr>
        <w:pStyle w:val="Compact"/>
        <w:numPr>
          <w:numId w:val="1001"/>
          <w:ilvl w:val="0"/>
        </w:numPr>
      </w:pPr>
      <w:r>
        <w:t xml:space="preserve">Work with finance specialist to track study budgets</w:t>
      </w:r>
    </w:p>
    <w:p>
      <w:pPr>
        <w:pStyle w:val="Heading2"/>
      </w:pPr>
      <w:bookmarkStart w:id="23" w:name="qualifications-for-clinical-research-manager"/>
      <w:r>
        <w:t xml:space="preserve">Qualifications for clinical research manager</w:t>
      </w:r>
      <w:bookmarkEnd w:id="23"/>
    </w:p>
    <w:p>
      <w:pPr>
        <w:pStyle w:val="Compact"/>
        <w:numPr>
          <w:numId w:val="1002"/>
          <w:ilvl w:val="0"/>
        </w:numPr>
      </w:pPr>
      <w:r>
        <w:t xml:space="preserve">Provide ongoing evaluation of project progress, staff utilization and satisfaction, and systems</w:t>
      </w:r>
    </w:p>
    <w:p>
      <w:pPr>
        <w:pStyle w:val="Compact"/>
        <w:numPr>
          <w:numId w:val="1002"/>
          <w:ilvl w:val="0"/>
        </w:numPr>
      </w:pPr>
      <w:r>
        <w:t xml:space="preserve">Provide regulatory support, guidance, and hands-on assistance to ensure optimal study-start up and adherence to Good Clinical Practices and all applicable regulatory guidelines</w:t>
      </w:r>
    </w:p>
    <w:p>
      <w:pPr>
        <w:pStyle w:val="Compact"/>
        <w:numPr>
          <w:numId w:val="1002"/>
          <w:ilvl w:val="0"/>
        </w:numPr>
      </w:pPr>
      <w:r>
        <w:t xml:space="preserve">Troubleshoot recruitment and project barriers, and help address personnel concerns</w:t>
      </w:r>
    </w:p>
    <w:p>
      <w:pPr>
        <w:pStyle w:val="Compact"/>
        <w:numPr>
          <w:numId w:val="1002"/>
          <w:ilvl w:val="0"/>
        </w:numPr>
      </w:pPr>
      <w:r>
        <w:t xml:space="preserve">Provide ongoing training and guidance to research staff</w:t>
      </w:r>
    </w:p>
    <w:p>
      <w:pPr>
        <w:pStyle w:val="Compact"/>
        <w:numPr>
          <w:numId w:val="1002"/>
          <w:ilvl w:val="0"/>
        </w:numPr>
      </w:pPr>
      <w:r>
        <w:t xml:space="preserve">Provide mentorship, career advancement, and support to ensure an engaged, high-performing staff</w:t>
      </w:r>
    </w:p>
    <w:p>
      <w:pPr>
        <w:pStyle w:val="Compact"/>
        <w:numPr>
          <w:numId w:val="1002"/>
          <w:ilvl w:val="0"/>
        </w:numPr>
      </w:pPr>
      <w:r>
        <w:t xml:space="preserve">Oversee roll-out of SCCR initiatives and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research-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research-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2021-10-28T13:00:59Z</dcterms:created>
  <dcterms:modified xsi:type="dcterms:W3CDTF">2021-10-28T13:00:59Z</dcterms:modified>
</cp:coreProperties>
</file>