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https://www.velvetjobs.com/job-descriptions/clinical-data-coordinator</w:t>
        </w:r>
      </w:hyperlink>
    </w:p>
    <w:p>
      <w:pPr>
        <w:pStyle w:val="Heading1"/>
      </w:pPr>
      <w:bookmarkStart w:id="21" w:name="example-of-clinical-data-coordinator-job-description"/>
      <w:r>
        <w:t xml:space="preserve">Example of Clinical Data Coordinator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clinical data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clinical-data-coordinator"/>
      <w:r>
        <w:t xml:space="preserve">Responsibilities for clinical data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 and resolve data discrepancies</w:t>
      </w:r>
    </w:p>
    <w:p>
      <w:pPr>
        <w:pStyle w:val="Compact"/>
        <w:numPr>
          <w:numId w:val="1001"/>
          <w:ilvl w:val="0"/>
        </w:numPr>
      </w:pPr>
      <w:r>
        <w:t xml:space="preserve">Assist with the reconciliation of central laboratory and/or third party vendor data (eCRF, eDiary, specialty laboratory)</w:t>
      </w:r>
    </w:p>
    <w:p>
      <w:pPr>
        <w:pStyle w:val="Compact"/>
        <w:numPr>
          <w:numId w:val="1001"/>
          <w:ilvl w:val="0"/>
        </w:numPr>
      </w:pPr>
      <w:r>
        <w:t xml:space="preserve">Perform reconciliation of central laboratory and/or third party vendor data (eCRF, eDiary, specialty laboratory)</w:t>
      </w:r>
    </w:p>
    <w:p>
      <w:pPr>
        <w:pStyle w:val="Compact"/>
        <w:numPr>
          <w:numId w:val="1001"/>
          <w:ilvl w:val="0"/>
        </w:numPr>
      </w:pPr>
      <w:r>
        <w:t xml:space="preserve">Perform aggregate review of clinical data by patient, site, and/or project to identify data trends (patient safety, compliance, ), and/or data inconsistencies that require further investigation</w:t>
      </w:r>
    </w:p>
    <w:p>
      <w:pPr>
        <w:pStyle w:val="Compact"/>
        <w:numPr>
          <w:numId w:val="1001"/>
          <w:ilvl w:val="0"/>
        </w:numPr>
      </w:pPr>
      <w:r>
        <w:t xml:space="preserve">Potentially serve as a reviewer of project documents such as protocols, CRFs (or eCRFs and eDiary), monitoring conventions, CRF (eCRF) completion guidelines</w:t>
      </w:r>
    </w:p>
    <w:p>
      <w:pPr>
        <w:pStyle w:val="Compact"/>
        <w:numPr>
          <w:numId w:val="1001"/>
          <w:ilvl w:val="0"/>
        </w:numPr>
      </w:pPr>
      <w:r>
        <w:t xml:space="preserve">Supports CTS to meet industry trial data deadlines</w:t>
      </w:r>
    </w:p>
    <w:p>
      <w:pPr>
        <w:pStyle w:val="Compact"/>
        <w:numPr>
          <w:numId w:val="1001"/>
          <w:ilvl w:val="0"/>
        </w:numPr>
      </w:pPr>
      <w:r>
        <w:t xml:space="preserve">Obtain source documentation for patients enrolled into clinical trial</w:t>
      </w:r>
    </w:p>
    <w:p>
      <w:pPr>
        <w:pStyle w:val="Compact"/>
        <w:numPr>
          <w:numId w:val="1001"/>
          <w:ilvl w:val="0"/>
        </w:numPr>
      </w:pPr>
      <w:r>
        <w:t xml:space="preserve">Assist CTS with case report form completion</w:t>
      </w:r>
    </w:p>
    <w:p>
      <w:pPr>
        <w:pStyle w:val="Compact"/>
        <w:numPr>
          <w:numId w:val="1001"/>
          <w:ilvl w:val="0"/>
        </w:numPr>
      </w:pPr>
      <w:r>
        <w:t xml:space="preserve">Assist CTS with query resolution</w:t>
      </w:r>
    </w:p>
    <w:p>
      <w:pPr>
        <w:pStyle w:val="Compact"/>
        <w:numPr>
          <w:numId w:val="1001"/>
          <w:ilvl w:val="0"/>
        </w:numPr>
      </w:pPr>
      <w:r>
        <w:t xml:space="preserve">Create and maintain patient visit tracking spreadsheets for CTS</w:t>
      </w:r>
    </w:p>
    <w:p>
      <w:pPr>
        <w:pStyle w:val="Heading2"/>
      </w:pPr>
      <w:bookmarkStart w:id="23" w:name="qualifications-for-clinical-data-coordinator"/>
      <w:r>
        <w:t xml:space="preserve">Qualifications for clinical data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Establishes positive, collaborative relationships with MedImmune peers, senior management and external vendors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and collaboratively in cross-functional teams</w:t>
      </w:r>
    </w:p>
    <w:p>
      <w:pPr>
        <w:pStyle w:val="Compact"/>
        <w:numPr>
          <w:numId w:val="1002"/>
          <w:ilvl w:val="0"/>
        </w:numPr>
      </w:pPr>
      <w:r>
        <w:t xml:space="preserve">Bachelor of science degree in nursing, allied health sciences, applied behavioral science, or related subject required</w:t>
      </w:r>
    </w:p>
    <w:p>
      <w:pPr>
        <w:pStyle w:val="Compact"/>
        <w:numPr>
          <w:numId w:val="1002"/>
          <w:ilvl w:val="0"/>
        </w:numPr>
      </w:pPr>
      <w:r>
        <w:t xml:space="preserve">Bachelor’s degree in a science or health related field plus 2 years of applicable experience preferred</w:t>
      </w:r>
    </w:p>
    <w:p>
      <w:pPr>
        <w:pStyle w:val="Compact"/>
        <w:numPr>
          <w:numId w:val="1002"/>
          <w:ilvl w:val="0"/>
        </w:numPr>
      </w:pPr>
      <w:r>
        <w:t xml:space="preserve">Ability to exercise independent judgment within generally defined practices and policies</w:t>
      </w:r>
    </w:p>
    <w:p>
      <w:pPr>
        <w:pStyle w:val="Compact"/>
        <w:numPr>
          <w:numId w:val="1002"/>
          <w:ilvl w:val="0"/>
        </w:numPr>
      </w:pPr>
      <w:r>
        <w:t xml:space="preserve">Prior experience with various computer programs (Microsoft Office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al-data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al-data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2021-10-28T13:09:36Z</dcterms:created>
  <dcterms:modified xsi:type="dcterms:W3CDTF">2021-10-28T13:09:36Z</dcterms:modified>
</cp:coreProperties>
</file>