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https://www.velvetjobs.com/job-descriptions/business-control</w:t>
        </w:r>
      </w:hyperlink>
    </w:p>
    <w:p>
      <w:pPr>
        <w:pStyle w:val="Heading1"/>
      </w:pPr>
      <w:bookmarkStart w:id="21" w:name="example-of-business-control-job-description"/>
      <w:r>
        <w:t xml:space="preserve">Example of Business Control Job Description</w:t>
      </w:r>
      <w:bookmarkEnd w:id="21"/>
    </w:p>
    <w:p>
      <w:pPr>
        <w:pStyle w:val="Compact"/>
      </w:pPr>
      <w:r>
        <w:t xml:space="preserve">Our innovative and growing company is looking for a business control. To join our growing team, please review the list of responsibilities and qualifications.</w:t>
      </w:r>
    </w:p>
    <w:p>
      <w:pPr>
        <w:pStyle w:val="Heading2"/>
      </w:pPr>
      <w:bookmarkStart w:id="22" w:name="responsibilities-for-business-control"/>
      <w:r>
        <w:t xml:space="preserve">Responsibilities for business control</w:t>
      </w:r>
      <w:bookmarkEnd w:id="22"/>
    </w:p>
    <w:p>
      <w:pPr>
        <w:pStyle w:val="Compact"/>
        <w:numPr>
          <w:numId w:val="1001"/>
          <w:ilvl w:val="0"/>
        </w:numPr>
      </w:pPr>
      <w:r>
        <w:t xml:space="preserve">Developing robust relationships with project leaders in order to influence, challenge and support financial control related strategy and practices</w:t>
      </w:r>
    </w:p>
    <w:p>
      <w:pPr>
        <w:pStyle w:val="Compact"/>
        <w:numPr>
          <w:numId w:val="1001"/>
          <w:ilvl w:val="0"/>
        </w:numPr>
      </w:pPr>
      <w:r>
        <w:t xml:space="preserve">Contributing to a wide variety of projects and development initiatives</w:t>
      </w:r>
    </w:p>
    <w:p>
      <w:pPr>
        <w:pStyle w:val="Compact"/>
        <w:numPr>
          <w:numId w:val="1001"/>
          <w:ilvl w:val="0"/>
        </w:numPr>
      </w:pPr>
      <w:r>
        <w:t xml:space="preserve">Weekly/monthly documentation preparation/action tracking and secretariat duties</w:t>
      </w:r>
    </w:p>
    <w:p>
      <w:pPr>
        <w:pStyle w:val="Compact"/>
        <w:numPr>
          <w:numId w:val="1001"/>
          <w:ilvl w:val="0"/>
        </w:numPr>
      </w:pPr>
      <w:r>
        <w:t xml:space="preserve">Support to and leadership on behalf of the Head of BD&amp;C, achieving robust governance by facilitating and ensuring the smooth running of the EMEA governance framework This will involve deputising for the Head of BD&amp;C on occasion at various forums</w:t>
      </w:r>
    </w:p>
    <w:p>
      <w:pPr>
        <w:pStyle w:val="Compact"/>
        <w:numPr>
          <w:numId w:val="1001"/>
          <w:ilvl w:val="0"/>
        </w:numPr>
      </w:pPr>
      <w:r>
        <w:t xml:space="preserve">Providing support and guidance, act as critical point of contact for the broader Barclays Group on matters related to BD&amp;C</w:t>
      </w:r>
    </w:p>
    <w:p>
      <w:pPr>
        <w:pStyle w:val="Compact"/>
        <w:numPr>
          <w:numId w:val="1001"/>
          <w:ilvl w:val="0"/>
        </w:numPr>
      </w:pPr>
      <w:r>
        <w:t xml:space="preserve">Drive the implementation of critical initiatives for the EMEA business, working with all key stakeholders to ensure effective implementation and embedding of initiatives</w:t>
      </w:r>
    </w:p>
    <w:p>
      <w:pPr>
        <w:pStyle w:val="Compact"/>
        <w:numPr>
          <w:numId w:val="1001"/>
          <w:ilvl w:val="0"/>
        </w:numPr>
      </w:pPr>
      <w:r>
        <w:t xml:space="preserve">Drive cost and efficiency improvements, and support implementation of the broader Barclays Group agenda across PB EMEA to maximise the value / returns to shareholders</w:t>
      </w:r>
    </w:p>
    <w:p>
      <w:pPr>
        <w:pStyle w:val="Compact"/>
        <w:numPr>
          <w:numId w:val="1001"/>
          <w:ilvl w:val="0"/>
        </w:numPr>
      </w:pPr>
      <w:r>
        <w:t xml:space="preserve">Support the day-to-day management of the strategic BD&amp;C priorities</w:t>
      </w:r>
    </w:p>
    <w:p>
      <w:pPr>
        <w:pStyle w:val="Compact"/>
        <w:numPr>
          <w:numId w:val="1001"/>
          <w:ilvl w:val="0"/>
        </w:numPr>
      </w:pPr>
      <w:r>
        <w:t xml:space="preserve">Co-ordinate and manage BD&amp;C liaison with the appropriate infrastructure and Transformation teams and with the wider group stakeholders, ensuring effective implementation and embedding of new projects and change initiatives that will land across the business</w:t>
      </w:r>
    </w:p>
    <w:p>
      <w:pPr>
        <w:pStyle w:val="Compact"/>
        <w:numPr>
          <w:numId w:val="1001"/>
          <w:ilvl w:val="0"/>
        </w:numPr>
      </w:pPr>
      <w:r>
        <w:t xml:space="preserve">Drive consistency of processes and ensure that all platforms have a consistent approach to business delivery, risk and control</w:t>
      </w:r>
    </w:p>
    <w:p>
      <w:pPr>
        <w:pStyle w:val="Heading2"/>
      </w:pPr>
      <w:bookmarkStart w:id="23" w:name="qualifications-for-business-control"/>
      <w:r>
        <w:t xml:space="preserve">Qualifications for business control</w:t>
      </w:r>
      <w:bookmarkEnd w:id="23"/>
    </w:p>
    <w:p>
      <w:pPr>
        <w:pStyle w:val="Compact"/>
        <w:numPr>
          <w:numId w:val="1002"/>
          <w:ilvl w:val="0"/>
        </w:numPr>
      </w:pPr>
      <w:r>
        <w:t xml:space="preserve">Understanding policies, procedures, and practices in the industry, with a focus on regulatory rules and compliance</w:t>
      </w:r>
    </w:p>
    <w:p>
      <w:pPr>
        <w:pStyle w:val="Compact"/>
        <w:numPr>
          <w:numId w:val="1002"/>
          <w:ilvl w:val="0"/>
        </w:numPr>
      </w:pPr>
      <w:r>
        <w:t xml:space="preserve">Strong understanding of Compliance and Audit practices</w:t>
      </w:r>
    </w:p>
    <w:p>
      <w:pPr>
        <w:pStyle w:val="Compact"/>
        <w:numPr>
          <w:numId w:val="1002"/>
          <w:ilvl w:val="0"/>
        </w:numPr>
      </w:pPr>
      <w:r>
        <w:t xml:space="preserve">Ability to work independently, promote teamwork and demonstrate sound reasoning and judgment</w:t>
      </w:r>
    </w:p>
    <w:p>
      <w:pPr>
        <w:pStyle w:val="Compact"/>
        <w:numPr>
          <w:numId w:val="1002"/>
          <w:ilvl w:val="0"/>
        </w:numPr>
      </w:pPr>
      <w:r>
        <w:t xml:space="preserve">Understanding of Investment Solutions products including mutual funds, closed-end funds, unit investment trusts, 529 plans, alternative investments, traditional fixed income and equities</w:t>
      </w:r>
    </w:p>
    <w:p>
      <w:pPr>
        <w:pStyle w:val="Compact"/>
        <w:numPr>
          <w:numId w:val="1002"/>
          <w:ilvl w:val="0"/>
        </w:numPr>
      </w:pPr>
      <w:r>
        <w:t xml:space="preserve">Strong knowledge of operating policies, procedures and</w:t>
      </w:r>
    </w:p>
    <w:p>
      <w:pPr>
        <w:pStyle w:val="Compact"/>
        <w:numPr>
          <w:numId w:val="1002"/>
          <w:ilvl w:val="0"/>
        </w:numPr>
      </w:pPr>
      <w:r>
        <w:t xml:space="preserve">Collaborate with GBAM Technology divisions, Risk Leads, and process owners to monitor and assess risks and related control gaps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contro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contr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2021-10-28T18:38:04Z</dcterms:created>
  <dcterms:modified xsi:type="dcterms:W3CDTF">2021-10-28T18:38:04Z</dcterms:modified>
</cp:coreProperties>
</file>