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https://www.velvetjobs.com/job-descriptions/associate-scientific-director</w:t>
        </w:r>
      </w:hyperlink>
    </w:p>
    <w:p>
      <w:pPr>
        <w:pStyle w:val="Heading1"/>
      </w:pPr>
      <w:bookmarkStart w:id="21" w:name="example-of-associate-scientific-director-job-description"/>
      <w:r>
        <w:t xml:space="preserve">Example of Associate Scientific Director Job Description</w:t>
      </w:r>
      <w:bookmarkEnd w:id="21"/>
    </w:p>
    <w:p>
      <w:pPr>
        <w:pStyle w:val="Compact"/>
      </w:pPr>
      <w:r>
        <w:t xml:space="preserve">Our growing company is hiring for an associate scientific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scientific-director"/>
      <w:r>
        <w:t xml:space="preserve">Responsibilities for associate scientific director</w:t>
      </w:r>
      <w:bookmarkEnd w:id="22"/>
    </w:p>
    <w:p>
      <w:pPr>
        <w:pStyle w:val="Compact"/>
        <w:numPr>
          <w:numId w:val="1001"/>
          <w:ilvl w:val="0"/>
        </w:numPr>
      </w:pPr>
      <w:r>
        <w:t xml:space="preserve">As assigned, act as a standing member on Medical Teams and other global or Genentech core and sub-teams to provide appropriate and adequate SC representation across teams</w:t>
      </w:r>
    </w:p>
    <w:p>
      <w:pPr>
        <w:pStyle w:val="Compact"/>
        <w:numPr>
          <w:numId w:val="1001"/>
          <w:ilvl w:val="0"/>
        </w:numPr>
      </w:pPr>
      <w:r>
        <w:t xml:space="preserve">Participate in and/or lead ongoing, quarterly and annual evaluation and refinement, as needed, of SC plans for the assigned molecule(s)/product(s) to ensure continuous effectiveness, on-time, on-target and within-budget results Participate in Scientific Congress and other relevant external meeting/event planning and development SC Operations Participate in and/or lead engagement plan negotiations with relevant external parties Work closely and regularly with relevant external parties</w:t>
      </w:r>
    </w:p>
    <w:p>
      <w:pPr>
        <w:pStyle w:val="Compact"/>
        <w:numPr>
          <w:numId w:val="1001"/>
          <w:ilvl w:val="0"/>
        </w:numPr>
      </w:pPr>
      <w:r>
        <w:t xml:space="preserve">Guide internal colleagues and teams on relevant external communications and interactions</w:t>
      </w:r>
    </w:p>
    <w:p>
      <w:pPr>
        <w:pStyle w:val="Compact"/>
        <w:numPr>
          <w:numId w:val="1001"/>
          <w:ilvl w:val="0"/>
        </w:numPr>
      </w:pPr>
      <w:r>
        <w:t xml:space="preserve">As needed or otherwise appropriate, help facilitate contact between relevant internal personnel and external strategic partners</w:t>
      </w:r>
    </w:p>
    <w:p>
      <w:pPr>
        <w:pStyle w:val="Compact"/>
        <w:numPr>
          <w:numId w:val="1001"/>
          <w:ilvl w:val="0"/>
        </w:numPr>
      </w:pPr>
      <w:r>
        <w:t xml:space="preserve">Lead cross-functional, long-term projects and/or clinical trials that require alignment across multiple internal and external stakeholders</w:t>
      </w:r>
    </w:p>
    <w:p>
      <w:pPr>
        <w:pStyle w:val="Compact"/>
        <w:numPr>
          <w:numId w:val="1001"/>
          <w:ilvl w:val="0"/>
        </w:numPr>
      </w:pPr>
      <w:r>
        <w:t xml:space="preserve">Act as a single-point-of-contact to relevant external parties and provide a pathway for any issue resolution or other business related developments and needs Provide medical affairs oversight on cross-functional committees and forums, such as promotional review committees, to ensure the SC perspective is incorporated into relevant cross-functional strategies, plans and tactics Provide SC support for advisory boards, conferences and other relevant events and forums</w:t>
      </w:r>
    </w:p>
    <w:p>
      <w:pPr>
        <w:pStyle w:val="Compact"/>
        <w:numPr>
          <w:numId w:val="1001"/>
          <w:ilvl w:val="0"/>
        </w:numPr>
      </w:pPr>
      <w:r>
        <w:t xml:space="preserve">Monitor execution of the Strategic Engagement Plan to ensure goals, objectives and other performance metrics will be met or exceeded</w:t>
      </w:r>
    </w:p>
    <w:p>
      <w:pPr>
        <w:pStyle w:val="Compact"/>
        <w:numPr>
          <w:numId w:val="1001"/>
          <w:ilvl w:val="0"/>
        </w:numPr>
      </w:pPr>
      <w:r>
        <w:t xml:space="preserve">As assigned, supporting development and execution of pipeline product communication plans and training, in collaboration with PDMA, gRED, pRED and other PD functions and teams</w:t>
      </w:r>
    </w:p>
    <w:p>
      <w:pPr>
        <w:pStyle w:val="Compact"/>
        <w:numPr>
          <w:numId w:val="1001"/>
          <w:ilvl w:val="0"/>
        </w:numPr>
      </w:pPr>
      <w:r>
        <w:t xml:space="preserve">Working collaboratively with all internal partners and other stakeholders</w:t>
      </w:r>
    </w:p>
    <w:p>
      <w:pPr>
        <w:pStyle w:val="Compact"/>
        <w:numPr>
          <w:numId w:val="1001"/>
          <w:ilvl w:val="0"/>
        </w:numPr>
      </w:pPr>
      <w:r>
        <w:t xml:space="preserve">Stay abreast of internal and external developments (scientific, clinical, commercial, competitive, legal, regulatory and like), as such developments may implicate or otherwise impact the assigned therapeutic area</w:t>
      </w:r>
    </w:p>
    <w:p>
      <w:pPr>
        <w:pStyle w:val="Heading2"/>
      </w:pPr>
      <w:bookmarkStart w:id="23" w:name="qualifications-for-associate-scientific-director"/>
      <w:r>
        <w:t xml:space="preserve">Qualifications for associate scientific director</w:t>
      </w:r>
      <w:bookmarkEnd w:id="23"/>
    </w:p>
    <w:p>
      <w:pPr>
        <w:pStyle w:val="Compact"/>
        <w:numPr>
          <w:numId w:val="1002"/>
          <w:ilvl w:val="0"/>
        </w:numPr>
      </w:pPr>
      <w:r>
        <w:t xml:space="preserve">Experience with a variety of regulatory and clinical documents</w:t>
      </w:r>
    </w:p>
    <w:p>
      <w:pPr>
        <w:pStyle w:val="Compact"/>
        <w:numPr>
          <w:numId w:val="1002"/>
          <w:ilvl w:val="0"/>
        </w:numPr>
      </w:pPr>
      <w:r>
        <w:t xml:space="preserve">Experience in managing projects and documents and as a project team member</w:t>
      </w:r>
    </w:p>
    <w:p>
      <w:pPr>
        <w:pStyle w:val="Compact"/>
        <w:numPr>
          <w:numId w:val="1002"/>
          <w:ilvl w:val="0"/>
        </w:numPr>
      </w:pPr>
      <w:r>
        <w:t xml:space="preserve">Ability to manage several tasks in parallel on short timelines</w:t>
      </w:r>
    </w:p>
    <w:p>
      <w:pPr>
        <w:pStyle w:val="Compact"/>
        <w:numPr>
          <w:numId w:val="1002"/>
          <w:ilvl w:val="0"/>
        </w:numPr>
      </w:pPr>
      <w:r>
        <w:t xml:space="preserve">Ability to work cooperatively with colleagues in a wide range of disciplines</w:t>
      </w:r>
    </w:p>
    <w:p>
      <w:pPr>
        <w:pStyle w:val="Compact"/>
        <w:numPr>
          <w:numId w:val="1002"/>
          <w:ilvl w:val="0"/>
        </w:numPr>
      </w:pPr>
      <w:r>
        <w:t xml:space="preserve">High level of competence in Word, Excel, PowerPoint, and Adobe Acrobat</w:t>
      </w:r>
    </w:p>
    <w:p>
      <w:pPr>
        <w:pStyle w:val="Compact"/>
        <w:numPr>
          <w:numId w:val="1002"/>
          <w:ilvl w:val="0"/>
        </w:numPr>
      </w:pPr>
      <w:r>
        <w:t xml:space="preserve">Familiarity with document templates and electronic submissions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cientific-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cientific-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2021-10-28T13:11:30Z</dcterms:created>
  <dcterms:modified xsi:type="dcterms:W3CDTF">2021-10-28T13:11:30Z</dcterms:modified>
</cp:coreProperties>
</file>