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https://www.velvetjobs.com/job-descriptions/advisory-strategy</w:t>
        </w:r>
      </w:hyperlink>
    </w:p>
    <w:p>
      <w:pPr>
        <w:pStyle w:val="Heading1"/>
      </w:pPr>
      <w:bookmarkStart w:id="21" w:name="example-of-advisory-strategy-job-description"/>
      <w:r>
        <w:t xml:space="preserve">Example of Advisory Strategy Job Description</w:t>
      </w:r>
      <w:bookmarkEnd w:id="21"/>
    </w:p>
    <w:p>
      <w:pPr>
        <w:pStyle w:val="Compact"/>
      </w:pPr>
      <w:r>
        <w:t xml:space="preserve">Our growing company is searching for experienced candidates for the position of advisory strategy. If you are looking for an exciting place to work, please take a look at the list of qualifications below.</w:t>
      </w:r>
    </w:p>
    <w:p>
      <w:pPr>
        <w:pStyle w:val="Heading2"/>
      </w:pPr>
      <w:bookmarkStart w:id="22" w:name="responsibilities-for-advisory-strategy"/>
      <w:r>
        <w:t xml:space="preserve">Responsibilities for advisory strategy</w:t>
      </w:r>
      <w:bookmarkEnd w:id="22"/>
    </w:p>
    <w:p>
      <w:pPr>
        <w:pStyle w:val="Compact"/>
        <w:numPr>
          <w:numId w:val="1001"/>
          <w:ilvl w:val="0"/>
        </w:numPr>
      </w:pPr>
      <w:r>
        <w:t xml:space="preserve">Leading the analysis and assessment of the current and upcoming regulatory requirements relevant to FinTech sector, as well on the challenges new technologies and innovation pose to regulators</w:t>
      </w:r>
    </w:p>
    <w:p>
      <w:pPr>
        <w:pStyle w:val="Compact"/>
        <w:numPr>
          <w:numId w:val="1001"/>
          <w:ilvl w:val="0"/>
        </w:numPr>
      </w:pPr>
      <w:r>
        <w:t xml:space="preserve">Assisting in driving the ECRS’s thought leadership on FinTech regulatory initiatives, by identifying relevant topics as the regulatory landscape develops</w:t>
      </w:r>
    </w:p>
    <w:p>
      <w:pPr>
        <w:pStyle w:val="Compact"/>
        <w:numPr>
          <w:numId w:val="1001"/>
          <w:ilvl w:val="0"/>
        </w:numPr>
      </w:pPr>
      <w:r>
        <w:t xml:space="preserve">Effectively supporting the assessment of the financial and operational impact of regulatory developments on clients within the FinTech sector</w:t>
      </w:r>
    </w:p>
    <w:p>
      <w:pPr>
        <w:pStyle w:val="Compact"/>
        <w:numPr>
          <w:numId w:val="1001"/>
          <w:ilvl w:val="0"/>
        </w:numPr>
      </w:pPr>
      <w:r>
        <w:t xml:space="preserve">Assisting in the analysis and assessment of new regulatory requirements in wholesale conduct, and affecting the compliance function, working with regulatory specialists to form a point of view on the key issues and strategic implications for clients</w:t>
      </w:r>
    </w:p>
    <w:p>
      <w:pPr>
        <w:pStyle w:val="Compact"/>
        <w:numPr>
          <w:numId w:val="1001"/>
          <w:ilvl w:val="0"/>
        </w:numPr>
      </w:pPr>
      <w:r>
        <w:t xml:space="preserve">Assisting in driving the ECRS’s thought leadership on regulatory initiatives in wholesale conduct and for the compliance function, by identifying relevant topics as the regulatory landscape develops</w:t>
      </w:r>
    </w:p>
    <w:p>
      <w:pPr>
        <w:pStyle w:val="Compact"/>
        <w:numPr>
          <w:numId w:val="1001"/>
          <w:ilvl w:val="0"/>
        </w:numPr>
      </w:pPr>
      <w:r>
        <w:t xml:space="preserve">Effectively supporting the assessment of the financial and operational impact of wholesale conduct regulatory developments on clients within the banking, capital markets and investment management sectors and of the compliance function across sectors in the financial services industry</w:t>
      </w:r>
    </w:p>
    <w:p>
      <w:pPr>
        <w:pStyle w:val="Compact"/>
        <w:numPr>
          <w:numId w:val="1001"/>
          <w:ilvl w:val="0"/>
        </w:numPr>
      </w:pPr>
      <w:r>
        <w:t xml:space="preserve">Working closely across business functions such as finance, marketing, internal communications, to execute, monitor and report progress against strategic priorities</w:t>
      </w:r>
    </w:p>
    <w:p>
      <w:pPr>
        <w:pStyle w:val="Compact"/>
        <w:numPr>
          <w:numId w:val="1001"/>
          <w:ilvl w:val="0"/>
        </w:numPr>
      </w:pPr>
      <w:r>
        <w:t xml:space="preserve">Driving forward thought leadership on the issues identified</w:t>
      </w:r>
    </w:p>
    <w:p>
      <w:pPr>
        <w:pStyle w:val="Compact"/>
        <w:numPr>
          <w:numId w:val="1001"/>
          <w:ilvl w:val="0"/>
        </w:numPr>
      </w:pPr>
      <w:r>
        <w:t xml:space="preserve">Ensuring the ECRS maintains an overview of relevant developments, including through tracking new policy initiatives, identifying emerging topics and developing relevant contacts with regulators, policymakers and with industry</w:t>
      </w:r>
    </w:p>
    <w:p>
      <w:pPr>
        <w:pStyle w:val="Compact"/>
        <w:numPr>
          <w:numId w:val="1001"/>
          <w:ilvl w:val="0"/>
        </w:numPr>
      </w:pPr>
      <w:r>
        <w:t xml:space="preserve">Managing resources, delivering work to agreed deadlines and ensuring the quality of outputs</w:t>
      </w:r>
    </w:p>
    <w:p>
      <w:pPr>
        <w:pStyle w:val="Heading2"/>
      </w:pPr>
      <w:bookmarkStart w:id="23" w:name="qualifications-for-advisory-strategy"/>
      <w:r>
        <w:t xml:space="preserve">Qualifications for advisory strategy</w:t>
      </w:r>
      <w:bookmarkEnd w:id="23"/>
    </w:p>
    <w:p>
      <w:pPr>
        <w:pStyle w:val="Compact"/>
        <w:numPr>
          <w:numId w:val="1002"/>
          <w:ilvl w:val="0"/>
        </w:numPr>
      </w:pPr>
      <w:r>
        <w:t xml:space="preserve">College Bachelor Degree</w:t>
      </w:r>
    </w:p>
    <w:p>
      <w:pPr>
        <w:pStyle w:val="Compact"/>
        <w:numPr>
          <w:numId w:val="1002"/>
          <w:ilvl w:val="0"/>
        </w:numPr>
      </w:pPr>
      <w:r>
        <w:t xml:space="preserve">211/985 University preferred</w:t>
      </w:r>
    </w:p>
    <w:p>
      <w:pPr>
        <w:pStyle w:val="Compact"/>
        <w:numPr>
          <w:numId w:val="1002"/>
          <w:ilvl w:val="0"/>
        </w:numPr>
      </w:pPr>
      <w:r>
        <w:t xml:space="preserve">No requirement on subject of study, knowledge in economics, finance and/or business administration is critical</w:t>
      </w:r>
    </w:p>
    <w:p>
      <w:pPr>
        <w:pStyle w:val="Compact"/>
        <w:numPr>
          <w:numId w:val="1002"/>
          <w:ilvl w:val="0"/>
        </w:numPr>
      </w:pPr>
      <w:r>
        <w:t xml:space="preserve">Several years of experience in regulatory environment within the insurance industry</w:t>
      </w:r>
    </w:p>
    <w:p>
      <w:pPr>
        <w:pStyle w:val="Compact"/>
        <w:numPr>
          <w:numId w:val="1002"/>
          <w:ilvl w:val="0"/>
        </w:numPr>
      </w:pPr>
      <w:r>
        <w:t xml:space="preserve">Solid understanding of the insurance sector, including some knowledge of insurance prudential issues</w:t>
      </w:r>
    </w:p>
    <w:p>
      <w:pPr>
        <w:pStyle w:val="Compact"/>
        <w:numPr>
          <w:numId w:val="1002"/>
          <w:ilvl w:val="0"/>
        </w:numPr>
      </w:pPr>
      <w:r>
        <w:t xml:space="preserve">Strong interpersonal skills and confidence to liaise and build relationships with a variety of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