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https://www.velvetjobs.com/job-descriptions/accounting-control</w:t>
        </w:r>
      </w:hyperlink>
    </w:p>
    <w:p>
      <w:pPr>
        <w:pStyle w:val="Heading1"/>
      </w:pPr>
      <w:bookmarkStart w:id="21" w:name="example-of-accounting-control-job-description"/>
      <w:r>
        <w:t xml:space="preserve">Example of Accounting Control Job Description</w:t>
      </w:r>
      <w:bookmarkEnd w:id="21"/>
    </w:p>
    <w:p>
      <w:pPr>
        <w:pStyle w:val="Compact"/>
      </w:pPr>
      <w:r>
        <w:t xml:space="preserve">Our growing company is hiring for an accounting control.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control"/>
      <w:r>
        <w:t xml:space="preserve">Responsibilities for accounting control</w:t>
      </w:r>
      <w:bookmarkEnd w:id="22"/>
    </w:p>
    <w:p>
      <w:pPr>
        <w:pStyle w:val="Compact"/>
        <w:numPr>
          <w:numId w:val="1001"/>
          <w:ilvl w:val="0"/>
        </w:numPr>
      </w:pPr>
      <w:r>
        <w:t xml:space="preserve">Secure statutory compliance and reporting throughout the organization through transparency on local requirements, status, issues</w:t>
      </w:r>
    </w:p>
    <w:p>
      <w:pPr>
        <w:pStyle w:val="Compact"/>
        <w:numPr>
          <w:numId w:val="1001"/>
          <w:ilvl w:val="0"/>
        </w:numPr>
      </w:pPr>
      <w:r>
        <w:t xml:space="preserve">Create the pre-requisites for the development of sufficient highly motivated and adequately skilled financial managers for the Group</w:t>
      </w:r>
    </w:p>
    <w:p>
      <w:pPr>
        <w:pStyle w:val="Compact"/>
        <w:numPr>
          <w:numId w:val="1001"/>
          <w:ilvl w:val="0"/>
        </w:numPr>
      </w:pPr>
      <w:r>
        <w:t xml:space="preserve">Responsible for Sarbanes-Oxley (SOX)/Internal Controls for Financial Reporting (ICFR) processes, including documentation, review and testing of internal controls</w:t>
      </w:r>
    </w:p>
    <w:p>
      <w:pPr>
        <w:pStyle w:val="Compact"/>
        <w:numPr>
          <w:numId w:val="1001"/>
          <w:ilvl w:val="0"/>
        </w:numPr>
      </w:pPr>
      <w:r>
        <w:t xml:space="preserve">Evaluate generally accepted accounting principles (GAAP) and regulatory compliance for SOX/ICFR and provide recommendations on accounting policies, internal control effectiveness and process improvements</w:t>
      </w:r>
    </w:p>
    <w:p>
      <w:pPr>
        <w:pStyle w:val="Compact"/>
        <w:numPr>
          <w:numId w:val="1001"/>
          <w:ilvl w:val="0"/>
        </w:numPr>
      </w:pPr>
      <w:r>
        <w:t xml:space="preserve">Work with process owners to advise/implement improvements to ensure compliance and continuously improve the Company’s ICFR</w:t>
      </w:r>
    </w:p>
    <w:p>
      <w:pPr>
        <w:pStyle w:val="Compact"/>
        <w:numPr>
          <w:numId w:val="1001"/>
          <w:ilvl w:val="0"/>
        </w:numPr>
      </w:pPr>
      <w:r>
        <w:t xml:space="preserve">Communicate internal control impacts, issues, and strategic direction to fiduciary team</w:t>
      </w:r>
    </w:p>
    <w:p>
      <w:pPr>
        <w:pStyle w:val="Compact"/>
        <w:numPr>
          <w:numId w:val="1001"/>
          <w:ilvl w:val="0"/>
        </w:numPr>
      </w:pPr>
      <w:r>
        <w:t xml:space="preserve">Continuously enhance the external reporting and SOX processes to monitor progress, efficiently document, review and maintain supporting documentation</w:t>
      </w:r>
    </w:p>
    <w:p>
      <w:pPr>
        <w:pStyle w:val="Compact"/>
        <w:numPr>
          <w:numId w:val="1001"/>
          <w:ilvl w:val="0"/>
        </w:numPr>
      </w:pPr>
      <w:r>
        <w:t xml:space="preserve">Lead annual financial reporting risk assessment for financial statements and disclosures</w:t>
      </w:r>
    </w:p>
    <w:p>
      <w:pPr>
        <w:pStyle w:val="Compact"/>
        <w:numPr>
          <w:numId w:val="1001"/>
          <w:ilvl w:val="0"/>
        </w:numPr>
      </w:pPr>
      <w:r>
        <w:t xml:space="preserve">Research and formally document technical accounting positions and other financial assertions</w:t>
      </w:r>
    </w:p>
    <w:p>
      <w:pPr>
        <w:pStyle w:val="Compact"/>
        <w:numPr>
          <w:numId w:val="1001"/>
          <w:ilvl w:val="0"/>
        </w:numPr>
      </w:pPr>
      <w:r>
        <w:t xml:space="preserve">Monitor development/changes in accounting and financial reporting, provide US GAAP interpretation and prepare technical memorandums that document issues in a clear, logical and comprehensive manner</w:t>
      </w:r>
    </w:p>
    <w:p>
      <w:pPr>
        <w:pStyle w:val="Heading2"/>
      </w:pPr>
      <w:bookmarkStart w:id="23" w:name="qualifications-for-accounting-control"/>
      <w:r>
        <w:t xml:space="preserve">Qualifications for accounting control</w:t>
      </w:r>
      <w:bookmarkEnd w:id="23"/>
    </w:p>
    <w:p>
      <w:pPr>
        <w:pStyle w:val="Compact"/>
        <w:numPr>
          <w:numId w:val="1002"/>
          <w:ilvl w:val="0"/>
        </w:numPr>
      </w:pPr>
      <w:r>
        <w:t xml:space="preserve">Excellent analytical skills to vet complicated hedging strategies</w:t>
      </w:r>
    </w:p>
    <w:p>
      <w:pPr>
        <w:pStyle w:val="Compact"/>
        <w:numPr>
          <w:numId w:val="1002"/>
          <w:ilvl w:val="0"/>
        </w:numPr>
      </w:pPr>
      <w:r>
        <w:t xml:space="preserve">Ability to meet tight deadlines while maintaining high levels of accuracy</w:t>
      </w:r>
    </w:p>
    <w:p>
      <w:pPr>
        <w:pStyle w:val="Compact"/>
        <w:numPr>
          <w:numId w:val="1002"/>
          <w:ilvl w:val="0"/>
        </w:numPr>
      </w:pPr>
      <w:r>
        <w:t xml:space="preserve">Goal-oriented – must be able to work independently and organize tasks to pursue objectives</w:t>
      </w:r>
    </w:p>
    <w:p>
      <w:pPr>
        <w:pStyle w:val="Compact"/>
        <w:numPr>
          <w:numId w:val="1002"/>
          <w:ilvl w:val="0"/>
        </w:numPr>
      </w:pPr>
      <w:r>
        <w:t xml:space="preserve">Assist in regular month end process and intercompany accounting</w:t>
      </w:r>
    </w:p>
    <w:p>
      <w:pPr>
        <w:pStyle w:val="Compact"/>
        <w:numPr>
          <w:numId w:val="1002"/>
          <w:ilvl w:val="0"/>
        </w:numPr>
      </w:pPr>
      <w:r>
        <w:t xml:space="preserve">Support reporting and analysis</w:t>
      </w:r>
    </w:p>
    <w:p>
      <w:pPr>
        <w:pStyle w:val="Compact"/>
        <w:numPr>
          <w:numId w:val="1002"/>
          <w:ilvl w:val="0"/>
        </w:numPr>
      </w:pPr>
      <w:r>
        <w:t xml:space="preserve">Preparation of Balance Sheet Accounts reconciliations on Assure Net and ensure timely clearance of open items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2021-10-28T18:35:05Z</dcterms:created>
  <dcterms:modified xsi:type="dcterms:W3CDTF">2021-10-28T18:35:05Z</dcterms:modified>
</cp:coreProperties>
</file>