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https://www.velvetjobs.com/cover-letters/trade-support-analyst</w:t>
        </w:r>
      </w:hyperlink>
    </w:p>
    <w:p>
      <w:pPr>
        <w:pStyle w:val="Heading1"/>
      </w:pPr>
      <w:bookmarkStart w:id="21" w:name="example-of-trade-support-analyst-cover-letter"/>
      <w:r>
        <w:t xml:space="preserve">Example of Trade Support Analyst Cover Letter</w:t>
      </w:r>
      <w:bookmarkEnd w:id="21"/>
    </w:p>
    <w:p>
      <w:pPr>
        <w:pStyle w:val="Compact"/>
      </w:pPr>
      <w:r>
        <w:t xml:space="preserve">40149 Schroeder Road</w:t>
      </w:r>
      <w:r>
        <w:br w:type="textWrapping"/>
      </w:r>
      <w:r>
        <w:t xml:space="preserve">Sipesport, NE 13770-7086</w:t>
      </w:r>
    </w:p>
    <w:p>
      <w:pPr>
        <w:pStyle w:val="Compact"/>
      </w:pPr>
      <w:r>
        <w:rPr>
          <w:b/>
        </w:rPr>
        <w:t xml:space="preserve">Dear Landry Rath,</w:t>
      </w:r>
    </w:p>
    <w:p>
      <w:pPr>
        <w:pStyle w:val="BodyText"/>
      </w:pPr>
      <w:r>
        <w:t xml:space="preserve">Please consider me for the trade support analyst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financial analysis support on budgeting, invoicing, vendor contracts, procurement and financial reports for technology spending on services and products.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To perform various trade support tasks including trade allocations, rebooking, and confirmation</w:t>
      </w:r>
    </w:p>
    <w:p>
      <w:pPr>
        <w:pStyle w:val="Compact"/>
        <w:numPr>
          <w:numId w:val="1001"/>
          <w:ilvl w:val="0"/>
        </w:numPr>
      </w:pPr>
      <w:r>
        <w:t xml:space="preserve">Fast paced, dynamic environment which includes daily interaction with trading</w:t>
      </w:r>
    </w:p>
    <w:p>
      <w:pPr>
        <w:pStyle w:val="Compact"/>
        <w:numPr>
          <w:numId w:val="1001"/>
          <w:ilvl w:val="0"/>
        </w:numPr>
      </w:pPr>
      <w:r>
        <w:t xml:space="preserve">Product exposure should include thorough understanding of CMBS/RMBS, ABX/CMBX, CDS/CDX, Corporate&amp; Convertible Bonds, Cash Equity, Equity Options, TRS and Corporate Actions</w:t>
      </w:r>
    </w:p>
    <w:p>
      <w:pPr>
        <w:pStyle w:val="Compact"/>
        <w:numPr>
          <w:numId w:val="1001"/>
          <w:ilvl w:val="0"/>
        </w:numPr>
      </w:pPr>
      <w:r>
        <w:t xml:space="preserve">Knowledge of DTC, Euroclear, OASYS, ICE/CME, Trioptima &amp; TRACE</w:t>
      </w:r>
    </w:p>
    <w:p>
      <w:pPr>
        <w:pStyle w:val="Compact"/>
        <w:numPr>
          <w:numId w:val="1001"/>
          <w:ilvl w:val="0"/>
        </w:numPr>
      </w:pPr>
      <w:r>
        <w:t xml:space="preserve">Experience in a similar role at either an Asset Manager or a Hedge Fund</w:t>
      </w:r>
    </w:p>
    <w:p>
      <w:pPr>
        <w:pStyle w:val="Compact"/>
        <w:numPr>
          <w:numId w:val="1001"/>
          <w:ilvl w:val="0"/>
        </w:numPr>
      </w:pPr>
      <w:r>
        <w:t xml:space="preserve">Good Knowledge of Trade life cycle for Equities and Fixed Income markets</w:t>
      </w:r>
    </w:p>
    <w:p>
      <w:pPr>
        <w:pStyle w:val="Compact"/>
        <w:numPr>
          <w:numId w:val="1001"/>
          <w:ilvl w:val="0"/>
        </w:numPr>
      </w:pPr>
      <w:r>
        <w:t xml:space="preserve">Working knowledge of reconciliations, controls and settlements</w:t>
      </w:r>
    </w:p>
    <w:p>
      <w:pPr>
        <w:pStyle w:val="Compact"/>
        <w:numPr>
          <w:numId w:val="1001"/>
          <w:ilvl w:val="0"/>
        </w:numPr>
      </w:pPr>
      <w:r>
        <w:t xml:space="preserve">Strong knowledge of departmental systems and applications are a asset (ICI, DSTS, FinPro, ADP)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Bellamy Yost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2021-12-03T11:28:20Z</dcterms:created>
  <dcterms:modified xsi:type="dcterms:W3CDTF">2021-12-03T11:28:20Z</dcterms:modified>
</cp:coreProperties>
</file>