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https://www.velvetjobs.com/cover-letters/investment-strategy</w:t>
        </w:r>
      </w:hyperlink>
    </w:p>
    <w:p>
      <w:pPr>
        <w:pStyle w:val="Heading1"/>
      </w:pPr>
      <w:bookmarkStart w:id="21" w:name="example-of-investment-strategy-cover-letter"/>
      <w:r>
        <w:t xml:space="preserve">Example of Investment Strategy Cover Letter</w:t>
      </w:r>
      <w:bookmarkEnd w:id="21"/>
    </w:p>
    <w:p>
      <w:pPr>
        <w:pStyle w:val="Compact"/>
      </w:pPr>
      <w:r>
        <w:t xml:space="preserve">142 Reanna Crossing</w:t>
      </w:r>
      <w:r>
        <w:br w:type="textWrapping"/>
      </w:r>
      <w:r>
        <w:t xml:space="preserve">Lake Fumikofort, NV 13228</w:t>
      </w:r>
    </w:p>
    <w:p>
      <w:pPr>
        <w:pStyle w:val="Compact"/>
      </w:pPr>
      <w:r>
        <w:rPr>
          <w:b/>
        </w:rPr>
        <w:t xml:space="preserve">Dear River Bogisich,</w:t>
      </w:r>
    </w:p>
    <w:p>
      <w:pPr>
        <w:pStyle w:val="BodyText"/>
      </w:pPr>
      <w:r>
        <w:t xml:space="preserve">Please consider me for the investment strategy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ad hoc support to investment managers, institutional client services, global investment risk team in various regions in Europe, and retail sales on investment risk requests.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Formulate appropriate and tractable mathematical/statistical models for our clients' investment/risk management needs, implement these models (using Matlab), and create output that is useful for presenting results to clients</w:t>
      </w:r>
    </w:p>
    <w:p>
      <w:pPr>
        <w:pStyle w:val="Compact"/>
        <w:numPr>
          <w:numId w:val="1001"/>
          <w:ilvl w:val="0"/>
        </w:numPr>
      </w:pPr>
      <w:r>
        <w:t xml:space="preserve">Pensions experience (consulting or in-house), including work as an actuary or completion of some actuarial exa</w:t>
      </w:r>
    </w:p>
    <w:p>
      <w:pPr>
        <w:pStyle w:val="Compact"/>
        <w:numPr>
          <w:numId w:val="1001"/>
          <w:ilvl w:val="0"/>
        </w:numPr>
      </w:pPr>
      <w:r>
        <w:t xml:space="preserve">Regulatory requirements including funding and solvency regulations</w:t>
      </w:r>
    </w:p>
    <w:p>
      <w:pPr>
        <w:pStyle w:val="Compact"/>
        <w:numPr>
          <w:numId w:val="1001"/>
          <w:ilvl w:val="0"/>
        </w:numPr>
      </w:pPr>
      <w:r>
        <w:t xml:space="preserve">Pensions accounting, and in particular, drivers of income and surplus volatility</w:t>
      </w:r>
    </w:p>
    <w:p>
      <w:pPr>
        <w:pStyle w:val="Compact"/>
        <w:numPr>
          <w:numId w:val="1001"/>
          <w:ilvl w:val="0"/>
        </w:numPr>
      </w:pPr>
      <w:r>
        <w:t xml:space="preserve">Benefit structures, both guaranteed and conditional, and how these interact with investment decisions</w:t>
      </w:r>
    </w:p>
    <w:p>
      <w:pPr>
        <w:pStyle w:val="Compact"/>
        <w:numPr>
          <w:numId w:val="1001"/>
          <w:ilvl w:val="0"/>
        </w:numPr>
      </w:pPr>
      <w:r>
        <w:t xml:space="preserve">A demonstrable history of successfully managing people and projects</w:t>
      </w:r>
    </w:p>
    <w:p>
      <w:pPr>
        <w:pStyle w:val="Compact"/>
        <w:numPr>
          <w:numId w:val="1001"/>
          <w:ilvl w:val="0"/>
        </w:numPr>
      </w:pPr>
      <w:r>
        <w:t xml:space="preserve">Experience using Barclay’s Point and Bloomberg</w:t>
      </w:r>
    </w:p>
    <w:p>
      <w:pPr>
        <w:pStyle w:val="Compact"/>
        <w:numPr>
          <w:numId w:val="1001"/>
          <w:ilvl w:val="0"/>
        </w:numPr>
      </w:pPr>
      <w:r>
        <w:t xml:space="preserve">Power User Proficiency - Microsoft Excel (VBA programming, building macros)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Emard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vestmen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vestmen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2021-11-26T12:05:32Z</dcterms:created>
  <dcterms:modified xsi:type="dcterms:W3CDTF">2021-11-26T12:05:32Z</dcterms:modified>
</cp:coreProperties>
</file>